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D0918" w14:textId="77777777" w:rsidR="000F0B79" w:rsidRDefault="000F0B79" w:rsidP="000F0B79">
      <w:pPr>
        <w:jc w:val="both"/>
      </w:pPr>
      <w:r w:rsidRPr="00D86EA8">
        <w:t>3-</w:t>
      </w:r>
      <w:r>
        <w:t>17</w:t>
      </w:r>
      <w:r w:rsidRPr="00D86EA8">
        <w:t>-</w:t>
      </w:r>
      <w:r>
        <w:t>00</w:t>
      </w:r>
      <w:r>
        <w:tab/>
      </w:r>
      <w:r w:rsidRPr="00D86EA8">
        <w:t>Policy</w:t>
      </w:r>
    </w:p>
    <w:p w14:paraId="1BB2D070" w14:textId="77777777" w:rsidR="000F0B79" w:rsidRPr="00D86EA8" w:rsidRDefault="000F0B79" w:rsidP="000F0B79">
      <w:pPr>
        <w:tabs>
          <w:tab w:val="left" w:pos="450"/>
          <w:tab w:val="left" w:pos="504"/>
        </w:tabs>
        <w:jc w:val="both"/>
      </w:pPr>
      <w:r>
        <w:tab/>
      </w:r>
      <w:r>
        <w:tab/>
      </w:r>
      <w:r w:rsidRPr="00D86EA8">
        <w:t>1</w:t>
      </w:r>
      <w:r>
        <w:t>0</w:t>
      </w:r>
      <w:r>
        <w:tab/>
      </w:r>
      <w:r w:rsidRPr="00D86EA8">
        <w:t>Procedures</w:t>
      </w:r>
    </w:p>
    <w:p w14:paraId="35F30FB0" w14:textId="77777777" w:rsidR="000F0B79" w:rsidRPr="00D86EA8" w:rsidRDefault="000F0B79" w:rsidP="000F0B79">
      <w:pPr>
        <w:tabs>
          <w:tab w:val="left" w:pos="450"/>
          <w:tab w:val="left" w:pos="504"/>
        </w:tabs>
        <w:jc w:val="both"/>
      </w:pPr>
      <w:r>
        <w:tab/>
      </w:r>
      <w:r>
        <w:tab/>
      </w:r>
      <w:r w:rsidRPr="00D86EA8">
        <w:t>2</w:t>
      </w:r>
      <w:r>
        <w:t>0</w:t>
      </w:r>
      <w:r>
        <w:tab/>
      </w:r>
      <w:r w:rsidRPr="00D86EA8">
        <w:t>Guidance and Information</w:t>
      </w:r>
    </w:p>
    <w:p w14:paraId="48AD92DA" w14:textId="77777777" w:rsidR="000F0B79" w:rsidRPr="00D86EA8" w:rsidRDefault="000F0B79" w:rsidP="000F0B79">
      <w:pPr>
        <w:tabs>
          <w:tab w:val="left" w:pos="450"/>
          <w:tab w:val="left" w:pos="504"/>
        </w:tabs>
        <w:jc w:val="both"/>
      </w:pPr>
      <w:r>
        <w:tab/>
      </w:r>
      <w:r>
        <w:tab/>
      </w:r>
      <w:r w:rsidRPr="00D86EA8">
        <w:t>30</w:t>
      </w:r>
      <w:r>
        <w:tab/>
        <w:t>Reporting Requirements</w:t>
      </w:r>
    </w:p>
    <w:p w14:paraId="45E78CB6" w14:textId="77777777" w:rsidR="000F0B79" w:rsidRPr="00D86EA8" w:rsidRDefault="000F0B79" w:rsidP="000F0B79">
      <w:pPr>
        <w:jc w:val="both"/>
      </w:pPr>
    </w:p>
    <w:p w14:paraId="5F0E01F3" w14:textId="77777777" w:rsidR="000F0B79" w:rsidRPr="002C3F86" w:rsidRDefault="000F0B79" w:rsidP="000F0B79">
      <w:pPr>
        <w:jc w:val="both"/>
        <w:rPr>
          <w:b/>
          <w:u w:val="single"/>
        </w:rPr>
      </w:pPr>
      <w:r w:rsidRPr="002C3F86">
        <w:rPr>
          <w:b/>
        </w:rPr>
        <w:t>3-17-00</w:t>
      </w:r>
      <w:r w:rsidRPr="002C3F86">
        <w:rPr>
          <w:b/>
        </w:rPr>
        <w:tab/>
        <w:t>POLICY</w:t>
      </w:r>
    </w:p>
    <w:p w14:paraId="376DAD55" w14:textId="77777777" w:rsidR="000F0B79" w:rsidRPr="00D86EA8" w:rsidRDefault="000F0B79" w:rsidP="000F0B79">
      <w:pPr>
        <w:jc w:val="both"/>
      </w:pPr>
    </w:p>
    <w:p w14:paraId="059F587E" w14:textId="77777777" w:rsidR="000F0B79" w:rsidRPr="00D86EA8" w:rsidRDefault="000F0B79" w:rsidP="000F0B79">
      <w:pPr>
        <w:jc w:val="both"/>
      </w:pPr>
      <w:r w:rsidRPr="00D86EA8">
        <w:t xml:space="preserve">This Section provides instructions for managing </w:t>
      </w:r>
      <w:r>
        <w:t xml:space="preserve">contractor access to the </w:t>
      </w:r>
      <w:r w:rsidRPr="00D86EA8">
        <w:t>Clinical Center Complex (CCC): (Buildings 10 and 10B, Mark O. Hatfield Clinical Research Center (CRC), and the INVIVO (NMR) Addition)</w:t>
      </w:r>
      <w:r>
        <w:t xml:space="preserve"> </w:t>
      </w:r>
      <w:r w:rsidR="00F01B11">
        <w:t>to perform authorized work in compliance</w:t>
      </w:r>
      <w:r>
        <w:t xml:space="preserve"> with The Joint Commis</w:t>
      </w:r>
      <w:r w:rsidR="006D081A">
        <w:t>s</w:t>
      </w:r>
      <w:r>
        <w:t xml:space="preserve">ion (TJC) </w:t>
      </w:r>
      <w:r w:rsidR="006D081A">
        <w:t xml:space="preserve">safety and security </w:t>
      </w:r>
      <w:r w:rsidR="00FB750B">
        <w:t>risk</w:t>
      </w:r>
      <w:r w:rsidR="00E94B36">
        <w:t xml:space="preserve"> guidelines for </w:t>
      </w:r>
      <w:r w:rsidR="00F62616">
        <w:t xml:space="preserve">facilities and the </w:t>
      </w:r>
      <w:r w:rsidR="00E94B36">
        <w:t xml:space="preserve">supporting </w:t>
      </w:r>
      <w:r w:rsidR="00FB750B">
        <w:t>utility infrastructure.</w:t>
      </w:r>
    </w:p>
    <w:p w14:paraId="4D129F9B" w14:textId="77777777" w:rsidR="000F0B79" w:rsidRDefault="000F0B79" w:rsidP="000F0B79">
      <w:pPr>
        <w:jc w:val="both"/>
      </w:pPr>
    </w:p>
    <w:p w14:paraId="5E81E23C" w14:textId="77777777" w:rsidR="000F5585" w:rsidRDefault="000F5585" w:rsidP="000F5585">
      <w:pPr>
        <w:rPr>
          <w:rFonts w:ascii="Arial" w:hAnsi="Arial" w:cs="Arial"/>
        </w:rPr>
      </w:pPr>
      <w:r>
        <w:t>T</w:t>
      </w:r>
      <w:r w:rsidRPr="007053C4">
        <w:t>he SP</w:t>
      </w:r>
      <w:r>
        <w:t>E</w:t>
      </w:r>
      <w:r w:rsidR="00BD771B">
        <w:t>P</w:t>
      </w:r>
      <w:r w:rsidRPr="007053C4">
        <w:t xml:space="preserve"> is designed to manage the potential security risk to CCC through </w:t>
      </w:r>
      <w:r>
        <w:t xml:space="preserve">use of a </w:t>
      </w:r>
      <w:r w:rsidRPr="007053C4">
        <w:t>standardized screening process to ensure authorized access to the CC facility.</w:t>
      </w:r>
    </w:p>
    <w:p w14:paraId="37D10B56" w14:textId="77777777" w:rsidR="000F5585" w:rsidRPr="00D86EA8" w:rsidRDefault="000F5585" w:rsidP="000F0B79">
      <w:pPr>
        <w:jc w:val="both"/>
      </w:pPr>
    </w:p>
    <w:p w14:paraId="69ACBF87" w14:textId="77777777" w:rsidR="000F0B79" w:rsidRPr="002C3F86" w:rsidRDefault="000F0B79" w:rsidP="000F0B79">
      <w:pPr>
        <w:pStyle w:val="Heading5"/>
        <w:rPr>
          <w:b/>
        </w:rPr>
      </w:pPr>
      <w:r w:rsidRPr="002C3F86">
        <w:rPr>
          <w:b/>
        </w:rPr>
        <w:t>A.   APPLICABILITY</w:t>
      </w:r>
    </w:p>
    <w:p w14:paraId="233C7D5B" w14:textId="77777777" w:rsidR="000F0B79" w:rsidRPr="00D86EA8" w:rsidRDefault="000F0B79" w:rsidP="000F0B79">
      <w:pPr>
        <w:jc w:val="both"/>
        <w:rPr>
          <w:color w:val="0000FF"/>
        </w:rPr>
      </w:pPr>
    </w:p>
    <w:p w14:paraId="62A1C155" w14:textId="77777777" w:rsidR="00D57119" w:rsidRPr="00D57119" w:rsidRDefault="000F0B79" w:rsidP="00D57119">
      <w:r w:rsidRPr="00D86EA8">
        <w:rPr>
          <w:color w:val="000000"/>
        </w:rPr>
        <w:t xml:space="preserve">This </w:t>
      </w:r>
      <w:r w:rsidR="006D081A">
        <w:rPr>
          <w:color w:val="000000"/>
        </w:rPr>
        <w:t xml:space="preserve">policy </w:t>
      </w:r>
      <w:r w:rsidRPr="00D86EA8">
        <w:rPr>
          <w:color w:val="000000"/>
        </w:rPr>
        <w:t xml:space="preserve">applies to </w:t>
      </w:r>
      <w:r w:rsidR="00D57119" w:rsidRPr="00D57119">
        <w:t xml:space="preserve">the numerous </w:t>
      </w:r>
      <w:r w:rsidR="007053C4">
        <w:t xml:space="preserve">contractors performing </w:t>
      </w:r>
      <w:r w:rsidR="00D57119" w:rsidRPr="00D57119">
        <w:t>construction, maintenance and operational activities required to support CC functions</w:t>
      </w:r>
      <w:r w:rsidR="007053C4">
        <w:t xml:space="preserve"> </w:t>
      </w:r>
      <w:r w:rsidR="00D57119" w:rsidRPr="00D57119">
        <w:t>to maintain safety and reliability of CC facilities</w:t>
      </w:r>
      <w:r w:rsidR="007053C4">
        <w:t>.</w:t>
      </w:r>
      <w:r w:rsidR="00D57119" w:rsidRPr="00D57119">
        <w:t xml:space="preserve">  </w:t>
      </w:r>
    </w:p>
    <w:p w14:paraId="7282B956" w14:textId="77777777" w:rsidR="000F5585" w:rsidRDefault="000F5585" w:rsidP="00D57119">
      <w:pPr>
        <w:rPr>
          <w:rFonts w:ascii="Arial" w:hAnsi="Arial" w:cs="Arial"/>
        </w:rPr>
      </w:pPr>
    </w:p>
    <w:p w14:paraId="1C0D01D2" w14:textId="77777777" w:rsidR="000F0B79" w:rsidRPr="002C3F86" w:rsidRDefault="000F0B79" w:rsidP="000F0B79">
      <w:pPr>
        <w:pStyle w:val="Heading5"/>
        <w:rPr>
          <w:b/>
        </w:rPr>
      </w:pPr>
      <w:r w:rsidRPr="002C3F86">
        <w:rPr>
          <w:b/>
        </w:rPr>
        <w:t>B</w:t>
      </w:r>
      <w:r w:rsidRPr="002C3F86">
        <w:rPr>
          <w:b/>
          <w:color w:val="0000FF"/>
        </w:rPr>
        <w:t xml:space="preserve">.   </w:t>
      </w:r>
      <w:r w:rsidRPr="002C3F86">
        <w:rPr>
          <w:b/>
        </w:rPr>
        <w:t>RESPONSIBILITIES</w:t>
      </w:r>
    </w:p>
    <w:p w14:paraId="3A0B8638" w14:textId="77777777" w:rsidR="000F0B79" w:rsidRPr="00D86EA8" w:rsidRDefault="000F0B79" w:rsidP="000F0B79">
      <w:pPr>
        <w:jc w:val="both"/>
        <w:rPr>
          <w:color w:val="0000FF"/>
        </w:rPr>
      </w:pPr>
    </w:p>
    <w:p w14:paraId="6728DD45" w14:textId="77777777" w:rsidR="007053C4" w:rsidRPr="007053C4" w:rsidRDefault="007053C4" w:rsidP="000F5585">
      <w:pPr>
        <w:pStyle w:val="ListParagraph"/>
        <w:numPr>
          <w:ilvl w:val="0"/>
          <w:numId w:val="38"/>
        </w:numPr>
      </w:pPr>
      <w:r>
        <w:t xml:space="preserve">The </w:t>
      </w:r>
      <w:r w:rsidRPr="00C26ABF">
        <w:rPr>
          <w:b/>
        </w:rPr>
        <w:t xml:space="preserve">Office of Research Facilities </w:t>
      </w:r>
      <w:r w:rsidR="00C26ABF" w:rsidRPr="00C26ABF">
        <w:rPr>
          <w:b/>
        </w:rPr>
        <w:t>(ORF)</w:t>
      </w:r>
      <w:r w:rsidR="00C26ABF">
        <w:t xml:space="preserve"> </w:t>
      </w:r>
      <w:r w:rsidR="000F5585">
        <w:t>i</w:t>
      </w:r>
      <w:r>
        <w:t xml:space="preserve">s </w:t>
      </w:r>
      <w:r w:rsidRPr="007053C4">
        <w:t>responsib</w:t>
      </w:r>
      <w:r>
        <w:t>le for</w:t>
      </w:r>
      <w:r w:rsidR="000F5585">
        <w:t xml:space="preserve"> the </w:t>
      </w:r>
      <w:r w:rsidRPr="007053C4">
        <w:t xml:space="preserve">management </w:t>
      </w:r>
      <w:r w:rsidR="000F5585">
        <w:t xml:space="preserve">and coordination of facility </w:t>
      </w:r>
      <w:r w:rsidRPr="007053C4">
        <w:t>maintenance, operation</w:t>
      </w:r>
      <w:r>
        <w:t>s</w:t>
      </w:r>
      <w:r w:rsidRPr="007053C4">
        <w:t xml:space="preserve"> and construction efforts </w:t>
      </w:r>
      <w:r>
        <w:t xml:space="preserve">to ensure compliance </w:t>
      </w:r>
      <w:r w:rsidR="000F5585">
        <w:t xml:space="preserve">with the TJC </w:t>
      </w:r>
      <w:r w:rsidR="00C26ABF">
        <w:t xml:space="preserve">Environment of Care (EC) Standards </w:t>
      </w:r>
      <w:r w:rsidRPr="007053C4">
        <w:t>to minimize adverse impact to occupants</w:t>
      </w:r>
      <w:r w:rsidR="00C26ABF">
        <w:t>, patients</w:t>
      </w:r>
      <w:r w:rsidRPr="007053C4">
        <w:t xml:space="preserve"> and hospital operations. </w:t>
      </w:r>
    </w:p>
    <w:p w14:paraId="25BD927C" w14:textId="77777777" w:rsidR="00C26ABF" w:rsidRDefault="000F0B79" w:rsidP="00C26ABF">
      <w:pPr>
        <w:pStyle w:val="ListParagraph"/>
        <w:numPr>
          <w:ilvl w:val="0"/>
          <w:numId w:val="38"/>
        </w:numPr>
        <w:jc w:val="both"/>
        <w:rPr>
          <w:color w:val="000000"/>
        </w:rPr>
      </w:pPr>
      <w:bookmarkStart w:id="0" w:name="_Hlk519269185"/>
      <w:r w:rsidRPr="00D86EA8">
        <w:rPr>
          <w:color w:val="000000"/>
        </w:rPr>
        <w:t xml:space="preserve">The </w:t>
      </w:r>
      <w:r w:rsidR="00C26ABF" w:rsidRPr="00C26ABF">
        <w:rPr>
          <w:b/>
          <w:color w:val="000000"/>
        </w:rPr>
        <w:t>ORF, Office of Hospital Physical Environment (OHPE)</w:t>
      </w:r>
      <w:r w:rsidR="00C26ABF">
        <w:rPr>
          <w:color w:val="000000"/>
        </w:rPr>
        <w:t xml:space="preserve"> is responsible</w:t>
      </w:r>
      <w:r w:rsidR="000B131F">
        <w:rPr>
          <w:color w:val="000000"/>
        </w:rPr>
        <w:t xml:space="preserve"> for</w:t>
      </w:r>
      <w:r w:rsidR="00C26ABF">
        <w:rPr>
          <w:color w:val="000000"/>
        </w:rPr>
        <w:t xml:space="preserve"> implementing and providing oversight of the SP</w:t>
      </w:r>
      <w:r w:rsidR="00BD771B">
        <w:rPr>
          <w:color w:val="000000"/>
        </w:rPr>
        <w:t>E</w:t>
      </w:r>
      <w:r w:rsidR="00C26ABF">
        <w:rPr>
          <w:color w:val="000000"/>
        </w:rPr>
        <w:t>P</w:t>
      </w:r>
      <w:r w:rsidR="00862578">
        <w:rPr>
          <w:color w:val="000000"/>
        </w:rPr>
        <w:t xml:space="preserve"> and communicates with PO’s </w:t>
      </w:r>
      <w:r w:rsidR="0062344B">
        <w:rPr>
          <w:color w:val="000000"/>
        </w:rPr>
        <w:t>to resolve</w:t>
      </w:r>
      <w:r w:rsidR="00862578">
        <w:rPr>
          <w:color w:val="000000"/>
        </w:rPr>
        <w:t xml:space="preserve"> compliance</w:t>
      </w:r>
      <w:r w:rsidR="0062344B">
        <w:rPr>
          <w:color w:val="000000"/>
        </w:rPr>
        <w:t xml:space="preserve"> issues</w:t>
      </w:r>
      <w:r w:rsidR="00C26ABF">
        <w:rPr>
          <w:color w:val="000000"/>
        </w:rPr>
        <w:t>.</w:t>
      </w:r>
    </w:p>
    <w:bookmarkEnd w:id="0"/>
    <w:p w14:paraId="74A96088" w14:textId="77777777" w:rsidR="00A32813" w:rsidRDefault="00A32813" w:rsidP="00A32813">
      <w:pPr>
        <w:pStyle w:val="ListParagraph"/>
        <w:numPr>
          <w:ilvl w:val="0"/>
          <w:numId w:val="38"/>
        </w:numPr>
        <w:jc w:val="both"/>
        <w:rPr>
          <w:color w:val="000000"/>
        </w:rPr>
      </w:pPr>
      <w:r w:rsidRPr="00D86EA8">
        <w:rPr>
          <w:color w:val="000000"/>
        </w:rPr>
        <w:t xml:space="preserve">The </w:t>
      </w:r>
      <w:r w:rsidRPr="00C26ABF">
        <w:rPr>
          <w:b/>
          <w:color w:val="000000"/>
        </w:rPr>
        <w:t xml:space="preserve">ORF, </w:t>
      </w:r>
      <w:r>
        <w:rPr>
          <w:b/>
          <w:color w:val="000000"/>
        </w:rPr>
        <w:t xml:space="preserve">Division of Design Construction Management (DDCM) </w:t>
      </w:r>
      <w:r>
        <w:rPr>
          <w:color w:val="000000"/>
        </w:rPr>
        <w:t xml:space="preserve">is responsible </w:t>
      </w:r>
      <w:r w:rsidR="000B131F">
        <w:rPr>
          <w:color w:val="000000"/>
        </w:rPr>
        <w:t xml:space="preserve">for </w:t>
      </w:r>
      <w:r>
        <w:rPr>
          <w:color w:val="000000"/>
        </w:rPr>
        <w:t xml:space="preserve">ensuring construction contracts identify the </w:t>
      </w:r>
      <w:r w:rsidR="000B131F">
        <w:rPr>
          <w:color w:val="000000"/>
        </w:rPr>
        <w:t xml:space="preserve">SPEP </w:t>
      </w:r>
      <w:r>
        <w:rPr>
          <w:color w:val="000000"/>
        </w:rPr>
        <w:t>requirement and ensures contractors have received ORFDO’s Joint Commission training prior to the start of work in the CCC.</w:t>
      </w:r>
    </w:p>
    <w:p w14:paraId="20E9382B" w14:textId="77777777" w:rsidR="004159A0" w:rsidRPr="004159A0" w:rsidRDefault="00A32813" w:rsidP="004159A0">
      <w:pPr>
        <w:pStyle w:val="ListParagraph"/>
        <w:numPr>
          <w:ilvl w:val="0"/>
          <w:numId w:val="38"/>
        </w:numPr>
        <w:autoSpaceDE w:val="0"/>
        <w:autoSpaceDN w:val="0"/>
        <w:adjustRightInd w:val="0"/>
        <w:jc w:val="both"/>
      </w:pPr>
      <w:r w:rsidRPr="004159A0">
        <w:rPr>
          <w:color w:val="000000"/>
        </w:rPr>
        <w:t xml:space="preserve">The </w:t>
      </w:r>
      <w:r w:rsidRPr="004159A0">
        <w:rPr>
          <w:b/>
          <w:color w:val="000000"/>
        </w:rPr>
        <w:t>ORF</w:t>
      </w:r>
      <w:r w:rsidR="000F0B79" w:rsidRPr="004159A0">
        <w:rPr>
          <w:b/>
          <w:color w:val="000000"/>
        </w:rPr>
        <w:t xml:space="preserve">, </w:t>
      </w:r>
      <w:r w:rsidRPr="004159A0">
        <w:rPr>
          <w:b/>
          <w:color w:val="000000"/>
        </w:rPr>
        <w:t>Office of the Director (OD)</w:t>
      </w:r>
      <w:r w:rsidRPr="004159A0">
        <w:rPr>
          <w:color w:val="000000"/>
        </w:rPr>
        <w:t xml:space="preserve"> is responsible for providing Joint Commission training to contractors and maintenance personnel scheduled to perform work in the CCC.</w:t>
      </w:r>
    </w:p>
    <w:p w14:paraId="2E1C9FB7" w14:textId="77777777" w:rsidR="004159A0" w:rsidRDefault="004159A0" w:rsidP="004159A0">
      <w:pPr>
        <w:pStyle w:val="ListParagraph"/>
        <w:numPr>
          <w:ilvl w:val="0"/>
          <w:numId w:val="38"/>
        </w:numPr>
        <w:autoSpaceDE w:val="0"/>
        <w:autoSpaceDN w:val="0"/>
        <w:adjustRightInd w:val="0"/>
        <w:jc w:val="both"/>
      </w:pPr>
      <w:r>
        <w:rPr>
          <w:color w:val="000000"/>
        </w:rPr>
        <w:t>T</w:t>
      </w:r>
      <w:r w:rsidR="00A32813" w:rsidRPr="004159A0">
        <w:rPr>
          <w:color w:val="000000"/>
        </w:rPr>
        <w:t xml:space="preserve">he </w:t>
      </w:r>
      <w:r w:rsidR="00A32813" w:rsidRPr="004159A0">
        <w:rPr>
          <w:b/>
        </w:rPr>
        <w:t xml:space="preserve">Clinical Center Hospital Engineering and Facility Services (CCHEFS) and Institutes &amp; Centers (ICs) </w:t>
      </w:r>
      <w:r w:rsidRPr="004159A0">
        <w:t xml:space="preserve">are </w:t>
      </w:r>
      <w:r>
        <w:t>responsible for:</w:t>
      </w:r>
    </w:p>
    <w:p w14:paraId="1B27FE02" w14:textId="77777777" w:rsidR="004159A0" w:rsidRDefault="004159A0" w:rsidP="004159A0">
      <w:pPr>
        <w:pStyle w:val="ListParagraph"/>
        <w:numPr>
          <w:ilvl w:val="1"/>
          <w:numId w:val="38"/>
        </w:numPr>
        <w:autoSpaceDE w:val="0"/>
        <w:autoSpaceDN w:val="0"/>
        <w:adjustRightInd w:val="0"/>
        <w:jc w:val="both"/>
      </w:pPr>
      <w:r>
        <w:t>Identifying contractors performing work in the CCC;</w:t>
      </w:r>
    </w:p>
    <w:p w14:paraId="684853FD" w14:textId="77777777" w:rsidR="004159A0" w:rsidRDefault="004159A0" w:rsidP="004159A0">
      <w:pPr>
        <w:pStyle w:val="ListParagraph"/>
        <w:numPr>
          <w:ilvl w:val="1"/>
          <w:numId w:val="38"/>
        </w:numPr>
        <w:autoSpaceDE w:val="0"/>
        <w:autoSpaceDN w:val="0"/>
        <w:adjustRightInd w:val="0"/>
        <w:jc w:val="both"/>
      </w:pPr>
      <w:r>
        <w:t xml:space="preserve">Making sure </w:t>
      </w:r>
      <w:r w:rsidR="009A53DB">
        <w:t xml:space="preserve">contractors </w:t>
      </w:r>
      <w:r>
        <w:t>are aware of the SPE Policy; and</w:t>
      </w:r>
    </w:p>
    <w:p w14:paraId="39CAF2C4" w14:textId="77777777" w:rsidR="00A32813" w:rsidRPr="00A32813" w:rsidRDefault="009A53DB" w:rsidP="004159A0">
      <w:pPr>
        <w:pStyle w:val="ListParagraph"/>
        <w:numPr>
          <w:ilvl w:val="1"/>
          <w:numId w:val="38"/>
        </w:numPr>
        <w:autoSpaceDE w:val="0"/>
        <w:autoSpaceDN w:val="0"/>
        <w:adjustRightInd w:val="0"/>
        <w:jc w:val="both"/>
      </w:pPr>
      <w:r>
        <w:t xml:space="preserve">Contractors </w:t>
      </w:r>
      <w:r w:rsidR="004159A0">
        <w:t>obtain ORFDO’s Joint Commission training prior to starting work.</w:t>
      </w:r>
    </w:p>
    <w:p w14:paraId="39D02B96" w14:textId="77777777" w:rsidR="00A32813" w:rsidRDefault="00A32813" w:rsidP="00A32813">
      <w:pPr>
        <w:autoSpaceDE w:val="0"/>
        <w:autoSpaceDN w:val="0"/>
        <w:adjustRightInd w:val="0"/>
        <w:ind w:left="720"/>
        <w:rPr>
          <w:rFonts w:ascii="Arial" w:hAnsi="Arial" w:cs="Arial"/>
        </w:rPr>
      </w:pPr>
    </w:p>
    <w:p w14:paraId="0224DFEE" w14:textId="77777777" w:rsidR="00BD771B" w:rsidRDefault="00BD771B" w:rsidP="000F0B79">
      <w:pPr>
        <w:jc w:val="both"/>
      </w:pPr>
    </w:p>
    <w:p w14:paraId="5BAF570B" w14:textId="77777777" w:rsidR="00BD771B" w:rsidRDefault="00BD771B" w:rsidP="000F0B79">
      <w:pPr>
        <w:jc w:val="both"/>
      </w:pPr>
    </w:p>
    <w:p w14:paraId="70AB39EE" w14:textId="77777777" w:rsidR="00BD771B" w:rsidRDefault="00BD771B" w:rsidP="000F0B79">
      <w:pPr>
        <w:jc w:val="both"/>
      </w:pPr>
    </w:p>
    <w:p w14:paraId="73DA56BE" w14:textId="77777777" w:rsidR="000F0B79" w:rsidRPr="002C3F86" w:rsidRDefault="000F0B79" w:rsidP="000F0B79">
      <w:pPr>
        <w:jc w:val="both"/>
        <w:rPr>
          <w:b/>
        </w:rPr>
      </w:pPr>
      <w:r w:rsidRPr="002C3F86">
        <w:rPr>
          <w:b/>
        </w:rPr>
        <w:t>3-1</w:t>
      </w:r>
      <w:r w:rsidR="00A32813" w:rsidRPr="002C3F86">
        <w:rPr>
          <w:b/>
        </w:rPr>
        <w:t>7</w:t>
      </w:r>
      <w:r w:rsidRPr="002C3F86">
        <w:rPr>
          <w:b/>
        </w:rPr>
        <w:t>-10</w:t>
      </w:r>
      <w:r w:rsidRPr="002C3F86">
        <w:rPr>
          <w:b/>
        </w:rPr>
        <w:tab/>
        <w:t>PROCEDURES</w:t>
      </w:r>
    </w:p>
    <w:p w14:paraId="1A3EBDD2" w14:textId="77777777" w:rsidR="000F0B79" w:rsidRPr="00D86EA8" w:rsidRDefault="000F0B79" w:rsidP="000F0B79">
      <w:pPr>
        <w:jc w:val="both"/>
      </w:pPr>
    </w:p>
    <w:p w14:paraId="7404F26F" w14:textId="77777777" w:rsidR="00467E91" w:rsidRPr="00467E91" w:rsidRDefault="00467E91" w:rsidP="00BD771B">
      <w:pPr>
        <w:pStyle w:val="ListParagraph"/>
        <w:numPr>
          <w:ilvl w:val="0"/>
          <w:numId w:val="41"/>
        </w:numPr>
      </w:pPr>
      <w:r w:rsidRPr="00467E91">
        <w:t>All contractor personnel access</w:t>
      </w:r>
      <w:r w:rsidR="00BD771B">
        <w:t xml:space="preserve">ing the CCC </w:t>
      </w:r>
      <w:r w:rsidRPr="00467E91">
        <w:t xml:space="preserve">to perform work </w:t>
      </w:r>
      <w:r w:rsidR="00BD771B">
        <w:t>must t</w:t>
      </w:r>
      <w:r w:rsidRPr="00467E91">
        <w:t xml:space="preserve">o adhere to the following  </w:t>
      </w:r>
      <w:r w:rsidR="00BD771B">
        <w:t xml:space="preserve">procedures </w:t>
      </w:r>
      <w:r w:rsidRPr="00467E91">
        <w:t>and as outlined in Appendix A</w:t>
      </w:r>
      <w:r w:rsidR="00BD771B">
        <w:t>:</w:t>
      </w:r>
    </w:p>
    <w:p w14:paraId="7CD581A9" w14:textId="77777777" w:rsidR="00467E91" w:rsidRPr="00467E91" w:rsidRDefault="00467E91" w:rsidP="00467E91"/>
    <w:p w14:paraId="25DC1B9E" w14:textId="77777777" w:rsidR="00467E91" w:rsidRDefault="00467E91" w:rsidP="00467E91">
      <w:pPr>
        <w:numPr>
          <w:ilvl w:val="0"/>
          <w:numId w:val="40"/>
        </w:numPr>
      </w:pPr>
      <w:r w:rsidRPr="00467E91">
        <w:t xml:space="preserve">At least two weeks prior to </w:t>
      </w:r>
      <w:r w:rsidR="00BD771B">
        <w:t xml:space="preserve">the </w:t>
      </w:r>
      <w:r w:rsidRPr="00467E91">
        <w:t>start of work or at any time personnel change</w:t>
      </w:r>
      <w:r w:rsidR="00D75869">
        <w:t>s</w:t>
      </w:r>
      <w:r w:rsidRPr="00467E91">
        <w:t xml:space="preserve"> (replacement, addition or removal)</w:t>
      </w:r>
      <w:r w:rsidR="00D75869">
        <w:t xml:space="preserve"> are made</w:t>
      </w:r>
      <w:r w:rsidRPr="00467E91">
        <w:t>, contractor</w:t>
      </w:r>
      <w:r w:rsidR="00D75869">
        <w:t xml:space="preserve">s must </w:t>
      </w:r>
      <w:r w:rsidRPr="00467E91">
        <w:t xml:space="preserve">provide the </w:t>
      </w:r>
      <w:r w:rsidR="00D75869">
        <w:t>ORF Project officer (PO) or Contracting Officer Representative (COR)</w:t>
      </w:r>
      <w:r w:rsidR="00273BB9">
        <w:t xml:space="preserve"> the list of personnel scheduled to work in the CCC.</w:t>
      </w:r>
    </w:p>
    <w:p w14:paraId="081C538B" w14:textId="77777777" w:rsidR="00467E91" w:rsidRPr="00467E91" w:rsidRDefault="00467E91" w:rsidP="00467E91">
      <w:pPr>
        <w:ind w:left="720"/>
      </w:pPr>
    </w:p>
    <w:p w14:paraId="41BDB87D" w14:textId="77777777" w:rsidR="00273BB9" w:rsidRDefault="00D75869" w:rsidP="00467E91">
      <w:pPr>
        <w:numPr>
          <w:ilvl w:val="0"/>
          <w:numId w:val="40"/>
        </w:numPr>
      </w:pPr>
      <w:r>
        <w:t xml:space="preserve">The ORF PO or COR </w:t>
      </w:r>
      <w:r w:rsidR="00273BB9">
        <w:t xml:space="preserve">ensures that all contractor personnel receive ORF’s Joint Commission </w:t>
      </w:r>
      <w:r w:rsidR="00074F41">
        <w:t xml:space="preserve">(JC) </w:t>
      </w:r>
      <w:r w:rsidR="00273BB9">
        <w:t xml:space="preserve">training and </w:t>
      </w:r>
      <w:r>
        <w:t xml:space="preserve">provides the </w:t>
      </w:r>
      <w:r w:rsidR="00273BB9">
        <w:t xml:space="preserve">list of all qualified and trained personnel to the OHPE SPE Coordinator. </w:t>
      </w:r>
    </w:p>
    <w:p w14:paraId="265B67B5" w14:textId="77777777" w:rsidR="00273BB9" w:rsidRDefault="00273BB9" w:rsidP="00273BB9">
      <w:pPr>
        <w:pStyle w:val="ListParagraph"/>
      </w:pPr>
    </w:p>
    <w:p w14:paraId="1BA64B7F" w14:textId="77777777" w:rsidR="00D75869" w:rsidRDefault="00D75869" w:rsidP="00D75869">
      <w:pPr>
        <w:numPr>
          <w:ilvl w:val="0"/>
          <w:numId w:val="40"/>
        </w:numPr>
      </w:pPr>
      <w:r w:rsidRPr="00467E91">
        <w:t>Contractor must issue a work specific ID badge (Appendix B) to each authorized personnel.</w:t>
      </w:r>
    </w:p>
    <w:p w14:paraId="55AAF837" w14:textId="77777777" w:rsidR="00467E91" w:rsidRPr="00467E91" w:rsidRDefault="00467E91" w:rsidP="00467E91">
      <w:pPr>
        <w:ind w:left="720"/>
      </w:pPr>
    </w:p>
    <w:p w14:paraId="1B012ED9" w14:textId="77777777" w:rsidR="00467E91" w:rsidRPr="00467E91" w:rsidRDefault="00467E91" w:rsidP="00467E91">
      <w:pPr>
        <w:numPr>
          <w:ilvl w:val="0"/>
          <w:numId w:val="40"/>
        </w:numPr>
      </w:pPr>
      <w:r w:rsidRPr="00467E91">
        <w:t xml:space="preserve">All contractor personnel </w:t>
      </w:r>
      <w:r w:rsidR="00273BB9">
        <w:t xml:space="preserve">must </w:t>
      </w:r>
      <w:r w:rsidRPr="00467E91">
        <w:t xml:space="preserve">enter </w:t>
      </w:r>
      <w:r w:rsidR="00273BB9">
        <w:t xml:space="preserve">the CCC </w:t>
      </w:r>
      <w:r w:rsidRPr="00467E91">
        <w:t xml:space="preserve">through the </w:t>
      </w:r>
      <w:r w:rsidRPr="00467E91">
        <w:rPr>
          <w:b/>
        </w:rPr>
        <w:t xml:space="preserve">Single Point </w:t>
      </w:r>
      <w:r w:rsidR="00273BB9">
        <w:rPr>
          <w:b/>
        </w:rPr>
        <w:t xml:space="preserve">of </w:t>
      </w:r>
      <w:r w:rsidRPr="00467E91">
        <w:rPr>
          <w:b/>
        </w:rPr>
        <w:t>Entry (SPE) in Room B2A17A at the B-2 loading dock,</w:t>
      </w:r>
      <w:r w:rsidRPr="00467E91">
        <w:t xml:space="preserve"> located at the s</w:t>
      </w:r>
      <w:r w:rsidR="00074F41">
        <w:t>outheast end of Building 10</w:t>
      </w:r>
      <w:r w:rsidR="00907269">
        <w:t xml:space="preserve"> (Appendix C)</w:t>
      </w:r>
      <w:r w:rsidR="00074F41">
        <w:t xml:space="preserve">. An identification badge and proof of receipt of ORFDO’s JC training is required </w:t>
      </w:r>
      <w:r w:rsidRPr="00467E91">
        <w:t xml:space="preserve">prior to </w:t>
      </w:r>
      <w:r w:rsidR="00074F41">
        <w:t>entrance being granted to the CCC.</w:t>
      </w:r>
    </w:p>
    <w:p w14:paraId="176EFEA5" w14:textId="77777777" w:rsidR="00467E91" w:rsidRPr="00467E91" w:rsidRDefault="00467E91" w:rsidP="00467E91">
      <w:pPr>
        <w:pStyle w:val="ListParagraph"/>
      </w:pPr>
    </w:p>
    <w:p w14:paraId="182BC22E" w14:textId="77777777" w:rsidR="00467E91" w:rsidRPr="00467E91" w:rsidRDefault="00467E91" w:rsidP="00467E91">
      <w:pPr>
        <w:numPr>
          <w:ilvl w:val="0"/>
          <w:numId w:val="40"/>
        </w:numPr>
      </w:pPr>
      <w:r w:rsidRPr="00467E91">
        <w:t>Upon ent</w:t>
      </w:r>
      <w:r w:rsidR="00074F41">
        <w:t xml:space="preserve">ering the CCC, </w:t>
      </w:r>
      <w:r w:rsidRPr="00467E91">
        <w:t xml:space="preserve">all contractor personnel must report directly to the authorized work site and display </w:t>
      </w:r>
      <w:r w:rsidR="00074F41">
        <w:t xml:space="preserve">an </w:t>
      </w:r>
      <w:r w:rsidRPr="00467E91">
        <w:t>ID badge at all times.</w:t>
      </w:r>
    </w:p>
    <w:p w14:paraId="61C52810" w14:textId="77777777" w:rsidR="00467E91" w:rsidRPr="00467E91" w:rsidRDefault="00467E91" w:rsidP="00467E91"/>
    <w:p w14:paraId="639EE758" w14:textId="77777777" w:rsidR="00EA44B8" w:rsidRDefault="00467E91" w:rsidP="00D502B8">
      <w:pPr>
        <w:pStyle w:val="ListParagraph"/>
        <w:numPr>
          <w:ilvl w:val="0"/>
          <w:numId w:val="41"/>
        </w:numPr>
        <w:autoSpaceDE w:val="0"/>
        <w:autoSpaceDN w:val="0"/>
        <w:adjustRightInd w:val="0"/>
      </w:pPr>
      <w:r w:rsidRPr="00467E91">
        <w:t>If contractor</w:t>
      </w:r>
      <w:r w:rsidR="00EA44B8">
        <w:t xml:space="preserve"> personnel fail to use the </w:t>
      </w:r>
      <w:r w:rsidRPr="00467E91">
        <w:t>SPE</w:t>
      </w:r>
      <w:r w:rsidR="00EA44B8">
        <w:t>,</w:t>
      </w:r>
      <w:r w:rsidRPr="00467E91">
        <w:t xml:space="preserve"> they will be asked to immediately </w:t>
      </w:r>
      <w:r w:rsidR="00EA44B8">
        <w:t xml:space="preserve">leave the CCC </w:t>
      </w:r>
      <w:r w:rsidRPr="00467E91">
        <w:t xml:space="preserve">and </w:t>
      </w:r>
      <w:r w:rsidR="00EA44B8">
        <w:t xml:space="preserve">will </w:t>
      </w:r>
      <w:r w:rsidRPr="00467E91">
        <w:t xml:space="preserve">not </w:t>
      </w:r>
      <w:r w:rsidR="00EA44B8">
        <w:t xml:space="preserve">be </w:t>
      </w:r>
      <w:r w:rsidRPr="00467E91">
        <w:t xml:space="preserve">allowed access until reinstated by the PO </w:t>
      </w:r>
      <w:r w:rsidR="00EA44B8">
        <w:t xml:space="preserve">or COR </w:t>
      </w:r>
      <w:r w:rsidRPr="00467E91">
        <w:t>through SPE Coordinator.</w:t>
      </w:r>
      <w:r w:rsidR="00EA44B8">
        <w:t xml:space="preserve"> </w:t>
      </w:r>
    </w:p>
    <w:p w14:paraId="621E0CA2" w14:textId="77777777" w:rsidR="00EA44B8" w:rsidRDefault="00EA44B8" w:rsidP="00EA44B8">
      <w:pPr>
        <w:pStyle w:val="ListParagraph"/>
        <w:autoSpaceDE w:val="0"/>
        <w:autoSpaceDN w:val="0"/>
        <w:adjustRightInd w:val="0"/>
        <w:ind w:left="360"/>
      </w:pPr>
    </w:p>
    <w:p w14:paraId="35D791BF" w14:textId="77777777" w:rsidR="00467E91" w:rsidRPr="00467E91" w:rsidRDefault="00467E91" w:rsidP="00467E91">
      <w:pPr>
        <w:autoSpaceDE w:val="0"/>
        <w:autoSpaceDN w:val="0"/>
        <w:adjustRightInd w:val="0"/>
        <w:rPr>
          <w:b/>
        </w:rPr>
      </w:pPr>
      <w:r w:rsidRPr="00467E91">
        <w:rPr>
          <w:b/>
        </w:rPr>
        <w:t xml:space="preserve"> </w:t>
      </w:r>
    </w:p>
    <w:p w14:paraId="29FF1FA2" w14:textId="77777777" w:rsidR="000F0B79" w:rsidRPr="002C3F86" w:rsidRDefault="000F0B79" w:rsidP="000F0B79">
      <w:pPr>
        <w:jc w:val="both"/>
        <w:rPr>
          <w:b/>
        </w:rPr>
      </w:pPr>
      <w:r w:rsidRPr="002C3F86">
        <w:rPr>
          <w:b/>
        </w:rPr>
        <w:t>3-</w:t>
      </w:r>
      <w:r w:rsidR="000B131F" w:rsidRPr="002C3F86">
        <w:rPr>
          <w:b/>
        </w:rPr>
        <w:t>17</w:t>
      </w:r>
      <w:r w:rsidRPr="002C3F86">
        <w:rPr>
          <w:b/>
        </w:rPr>
        <w:t>-20</w:t>
      </w:r>
      <w:r w:rsidRPr="002C3F86">
        <w:rPr>
          <w:b/>
        </w:rPr>
        <w:tab/>
        <w:t>GUIDANCE AND INFORMATION</w:t>
      </w:r>
    </w:p>
    <w:p w14:paraId="3B6D5C20" w14:textId="77777777" w:rsidR="000F0B79" w:rsidRPr="00D86EA8" w:rsidRDefault="000F0B79" w:rsidP="000F0B79">
      <w:pPr>
        <w:jc w:val="both"/>
      </w:pPr>
    </w:p>
    <w:p w14:paraId="6D73FC08" w14:textId="77777777" w:rsidR="000F0B79" w:rsidRPr="00D86EA8" w:rsidRDefault="000F0B79" w:rsidP="000F0B79">
      <w:pPr>
        <w:jc w:val="both"/>
      </w:pPr>
      <w:r w:rsidRPr="00D86EA8">
        <w:t>A.</w:t>
      </w:r>
      <w:r w:rsidRPr="00D86EA8">
        <w:tab/>
        <w:t xml:space="preserve">RELATED </w:t>
      </w:r>
      <w:r w:rsidR="008C37B1">
        <w:t>ACCREDITATION STANDARD</w:t>
      </w:r>
    </w:p>
    <w:p w14:paraId="1598B8E4" w14:textId="77777777" w:rsidR="000F0B79" w:rsidRPr="00D86EA8" w:rsidRDefault="000F0B79" w:rsidP="000F0B79">
      <w:pPr>
        <w:jc w:val="both"/>
      </w:pPr>
    </w:p>
    <w:p w14:paraId="1EF9D195" w14:textId="77777777" w:rsidR="000F0B79" w:rsidRDefault="005514CE" w:rsidP="00263768">
      <w:pPr>
        <w:pStyle w:val="ListParagraph"/>
        <w:numPr>
          <w:ilvl w:val="0"/>
          <w:numId w:val="42"/>
        </w:numPr>
        <w:jc w:val="both"/>
      </w:pPr>
      <w:r>
        <w:t xml:space="preserve">The Joint Commission (TJC) </w:t>
      </w:r>
      <w:r w:rsidR="00B70DF4">
        <w:t xml:space="preserve">Environment of Care (EC) Standard EC.02.01.01 - The hospital manages safety and security risks </w:t>
      </w:r>
      <w:r w:rsidRPr="00D86EA8">
        <w:t xml:space="preserve"> </w:t>
      </w:r>
      <w:r w:rsidR="000F0B79" w:rsidRPr="00D86EA8">
        <w:t xml:space="preserve"> </w:t>
      </w:r>
    </w:p>
    <w:p w14:paraId="70E9F0EE" w14:textId="77777777" w:rsidR="005514CE" w:rsidRPr="00B411AE" w:rsidRDefault="005514CE" w:rsidP="005514CE">
      <w:pPr>
        <w:pStyle w:val="ListParagraph"/>
        <w:jc w:val="both"/>
      </w:pPr>
    </w:p>
    <w:p w14:paraId="59CCD651" w14:textId="77777777" w:rsidR="000F0B79" w:rsidRPr="00D86EA8" w:rsidRDefault="000F0B79" w:rsidP="000F0B79">
      <w:pPr>
        <w:pStyle w:val="Heading5"/>
      </w:pPr>
      <w:r w:rsidRPr="00D86EA8">
        <w:t>B.</w:t>
      </w:r>
      <w:r w:rsidRPr="00D86EA8">
        <w:tab/>
        <w:t>RELATED DOCUMENTS</w:t>
      </w:r>
    </w:p>
    <w:p w14:paraId="2246C502" w14:textId="77777777" w:rsidR="000F0B79" w:rsidRPr="00D86EA8" w:rsidRDefault="000F0B79" w:rsidP="000F0B79">
      <w:pPr>
        <w:jc w:val="both"/>
      </w:pPr>
    </w:p>
    <w:p w14:paraId="1000A091" w14:textId="3766ABE2" w:rsidR="000F0B79" w:rsidRDefault="004B5893" w:rsidP="00263768">
      <w:pPr>
        <w:pStyle w:val="ListParagraph"/>
        <w:numPr>
          <w:ilvl w:val="0"/>
          <w:numId w:val="43"/>
        </w:numPr>
        <w:jc w:val="both"/>
      </w:pPr>
      <w:hyperlink r:id="rId8" w:tooltip="NIH Clinical Center Administrative Series Policy S-002 -Security Risk Management in the Hospital" w:history="1">
        <w:r w:rsidR="00EE5A5B" w:rsidRPr="004B5893">
          <w:rPr>
            <w:rStyle w:val="Hyperlink"/>
          </w:rPr>
          <w:t xml:space="preserve">CC General Administrative Series Policy S-002, </w:t>
        </w:r>
        <w:r w:rsidR="009E6018" w:rsidRPr="004B5893">
          <w:rPr>
            <w:rStyle w:val="Hyperlink"/>
          </w:rPr>
          <w:t>“</w:t>
        </w:r>
        <w:r w:rsidR="00EE5A5B" w:rsidRPr="004B5893">
          <w:rPr>
            <w:rStyle w:val="Hyperlink"/>
          </w:rPr>
          <w:t>CC Security Risk Management in the Hospital</w:t>
        </w:r>
        <w:r w:rsidR="009E6018" w:rsidRPr="004B5893">
          <w:rPr>
            <w:rStyle w:val="Hyperlink"/>
          </w:rPr>
          <w:t>”</w:t>
        </w:r>
      </w:hyperlink>
      <w:r w:rsidR="00B70DF4">
        <w:t xml:space="preserve"> </w:t>
      </w:r>
      <w:r w:rsidR="005514CE">
        <w:t xml:space="preserve"> </w:t>
      </w:r>
    </w:p>
    <w:p w14:paraId="79555E60" w14:textId="77777777" w:rsidR="009E6018" w:rsidRDefault="009E6018" w:rsidP="009E6018">
      <w:pPr>
        <w:pStyle w:val="ListParagraph"/>
        <w:jc w:val="both"/>
      </w:pPr>
    </w:p>
    <w:p w14:paraId="68D894B6" w14:textId="2C6C4D77" w:rsidR="009E6018" w:rsidRDefault="009E6018" w:rsidP="00263768">
      <w:pPr>
        <w:pStyle w:val="ListParagraph"/>
        <w:numPr>
          <w:ilvl w:val="0"/>
          <w:numId w:val="43"/>
        </w:numPr>
        <w:jc w:val="both"/>
      </w:pPr>
      <w:hyperlink r:id="rId9" w:tooltip="NIH Policy Manual 1381-Physical Security Project Requirements for NIH Owned and Leased  Facilities " w:history="1">
        <w:r w:rsidRPr="009E6018">
          <w:rPr>
            <w:rStyle w:val="Hyperlink"/>
          </w:rPr>
          <w:t>NIH Policy Manual 1381 – Physical Security Project Requirements for NIH Owned and Leased Facilities</w:t>
        </w:r>
      </w:hyperlink>
      <w:r>
        <w:t xml:space="preserve"> </w:t>
      </w:r>
      <w:bookmarkStart w:id="1" w:name="_GoBack"/>
      <w:bookmarkEnd w:id="1"/>
    </w:p>
    <w:p w14:paraId="7B329E42" w14:textId="77777777" w:rsidR="000F0B79" w:rsidRPr="00D86EA8" w:rsidRDefault="000F0B79" w:rsidP="000F0B79">
      <w:pPr>
        <w:pStyle w:val="Heading5"/>
      </w:pPr>
      <w:r w:rsidRPr="00D86EA8">
        <w:t>C.</w:t>
      </w:r>
      <w:r w:rsidRPr="00D86EA8">
        <w:tab/>
        <w:t>RECORDS</w:t>
      </w:r>
    </w:p>
    <w:p w14:paraId="5FEE526B" w14:textId="77777777" w:rsidR="000F0B79" w:rsidRPr="00D86EA8" w:rsidRDefault="000F0B79" w:rsidP="000F0B79">
      <w:pPr>
        <w:jc w:val="both"/>
      </w:pPr>
    </w:p>
    <w:p w14:paraId="54DCCA3B" w14:textId="77777777" w:rsidR="005514CE" w:rsidRDefault="005514CE" w:rsidP="00263768">
      <w:pPr>
        <w:pStyle w:val="ListParagraph"/>
        <w:numPr>
          <w:ilvl w:val="0"/>
          <w:numId w:val="44"/>
        </w:numPr>
        <w:jc w:val="both"/>
      </w:pPr>
      <w:r>
        <w:t>O</w:t>
      </w:r>
      <w:r w:rsidRPr="00EA44B8">
        <w:t xml:space="preserve">RF/OHPE SPEP database </w:t>
      </w:r>
      <w:r w:rsidR="00263768">
        <w:t xml:space="preserve">that </w:t>
      </w:r>
      <w:r w:rsidRPr="00EA44B8">
        <w:t xml:space="preserve">track and monitor </w:t>
      </w:r>
      <w:r w:rsidR="00263768">
        <w:t>compliance with EC standards.</w:t>
      </w:r>
    </w:p>
    <w:p w14:paraId="354720D6" w14:textId="77777777" w:rsidR="00263768" w:rsidRDefault="00263768" w:rsidP="00263768">
      <w:pPr>
        <w:jc w:val="both"/>
      </w:pPr>
    </w:p>
    <w:p w14:paraId="04C37EB3" w14:textId="77777777" w:rsidR="000F0B79" w:rsidRPr="002C3F86" w:rsidRDefault="000F0B79" w:rsidP="000F0B79">
      <w:pPr>
        <w:jc w:val="both"/>
        <w:rPr>
          <w:b/>
        </w:rPr>
      </w:pPr>
      <w:r w:rsidRPr="002C3F86">
        <w:rPr>
          <w:b/>
        </w:rPr>
        <w:t>3-</w:t>
      </w:r>
      <w:r w:rsidR="000B131F" w:rsidRPr="002C3F86">
        <w:rPr>
          <w:b/>
        </w:rPr>
        <w:t>17</w:t>
      </w:r>
      <w:r w:rsidRPr="002C3F86">
        <w:rPr>
          <w:b/>
        </w:rPr>
        <w:t>-30</w:t>
      </w:r>
      <w:r w:rsidRPr="002C3F86">
        <w:rPr>
          <w:b/>
        </w:rPr>
        <w:tab/>
        <w:t>REPORTING REQUIREMENTS</w:t>
      </w:r>
    </w:p>
    <w:p w14:paraId="5AE03B0B" w14:textId="77777777" w:rsidR="000F0B79" w:rsidRPr="00D86EA8" w:rsidRDefault="000F0B79" w:rsidP="000F0B79">
      <w:pPr>
        <w:jc w:val="both"/>
      </w:pPr>
    </w:p>
    <w:p w14:paraId="674600AA" w14:textId="77777777" w:rsidR="00263768" w:rsidRDefault="00263768" w:rsidP="00263768">
      <w:pPr>
        <w:pStyle w:val="ListParagraph"/>
        <w:numPr>
          <w:ilvl w:val="0"/>
          <w:numId w:val="45"/>
        </w:numPr>
        <w:jc w:val="both"/>
      </w:pPr>
      <w:r>
        <w:t>O</w:t>
      </w:r>
      <w:r w:rsidRPr="00EA44B8">
        <w:t xml:space="preserve">RF/OHPE </w:t>
      </w:r>
      <w:r w:rsidR="000B131F">
        <w:t xml:space="preserve">provides </w:t>
      </w:r>
      <w:r>
        <w:t>EC standards compliance tracking and monitoring report for PO’s/COR’s and contractors.</w:t>
      </w:r>
    </w:p>
    <w:p w14:paraId="03947AA3" w14:textId="77777777" w:rsidR="00263768" w:rsidRDefault="00263768" w:rsidP="00263768">
      <w:pPr>
        <w:pStyle w:val="ListParagraph"/>
        <w:ind w:left="360"/>
        <w:jc w:val="both"/>
      </w:pPr>
    </w:p>
    <w:p w14:paraId="723182DF" w14:textId="77777777" w:rsidR="005514CE" w:rsidRDefault="005514CE" w:rsidP="00263768">
      <w:pPr>
        <w:pStyle w:val="ListParagraph"/>
        <w:numPr>
          <w:ilvl w:val="0"/>
          <w:numId w:val="45"/>
        </w:numPr>
        <w:autoSpaceDE w:val="0"/>
        <w:autoSpaceDN w:val="0"/>
        <w:adjustRightInd w:val="0"/>
      </w:pPr>
      <w:r>
        <w:t>ORF/</w:t>
      </w:r>
      <w:r w:rsidRPr="00EA44B8">
        <w:t xml:space="preserve">OHPE short-term and long-term </w:t>
      </w:r>
      <w:r w:rsidR="00B70DF4">
        <w:t>P</w:t>
      </w:r>
      <w:r w:rsidRPr="00EA44B8">
        <w:t xml:space="preserve">lan of </w:t>
      </w:r>
      <w:r>
        <w:t>A</w:t>
      </w:r>
      <w:r w:rsidRPr="00EA44B8">
        <w:t xml:space="preserve">ction </w:t>
      </w:r>
      <w:r w:rsidR="00B70DF4">
        <w:t xml:space="preserve">to mitigate EC compliance risks </w:t>
      </w:r>
      <w:r w:rsidRPr="00EA44B8">
        <w:t xml:space="preserve">in consultation with </w:t>
      </w:r>
      <w:r>
        <w:t xml:space="preserve">the </w:t>
      </w:r>
      <w:r w:rsidRPr="00EA44B8">
        <w:t>CC and ORF leadership.</w:t>
      </w:r>
      <w:r>
        <w:t xml:space="preserve"> </w:t>
      </w:r>
    </w:p>
    <w:p w14:paraId="7076A609" w14:textId="77777777" w:rsidR="00907269" w:rsidRDefault="00907269" w:rsidP="00907269">
      <w:pPr>
        <w:pStyle w:val="ListParagraph"/>
      </w:pPr>
    </w:p>
    <w:p w14:paraId="12CC9F62" w14:textId="77777777" w:rsidR="00907269" w:rsidRDefault="00907269" w:rsidP="00907269">
      <w:pPr>
        <w:autoSpaceDE w:val="0"/>
        <w:autoSpaceDN w:val="0"/>
        <w:adjustRightInd w:val="0"/>
      </w:pPr>
    </w:p>
    <w:p w14:paraId="4F0B2CAC" w14:textId="77777777" w:rsidR="00907269" w:rsidRDefault="00907269" w:rsidP="00907269">
      <w:pPr>
        <w:autoSpaceDE w:val="0"/>
        <w:autoSpaceDN w:val="0"/>
        <w:adjustRightInd w:val="0"/>
      </w:pPr>
    </w:p>
    <w:p w14:paraId="7ABD938E" w14:textId="77777777" w:rsidR="00907269" w:rsidRDefault="00907269" w:rsidP="00907269">
      <w:pPr>
        <w:spacing w:after="160" w:line="259" w:lineRule="auto"/>
        <w:jc w:val="center"/>
        <w:rPr>
          <w:rFonts w:ascii="Arial" w:hAnsi="Arial" w:cs="Arial"/>
          <w:b/>
        </w:rPr>
      </w:pPr>
      <w:r>
        <w:br w:type="page"/>
      </w:r>
      <w:r w:rsidRPr="006E2104">
        <w:rPr>
          <w:rFonts w:ascii="Arial" w:hAnsi="Arial" w:cs="Arial"/>
          <w:b/>
        </w:rPr>
        <w:lastRenderedPageBreak/>
        <w:t>Appendix A</w:t>
      </w:r>
    </w:p>
    <w:p w14:paraId="55D29CF4" w14:textId="77777777" w:rsidR="00DA1E36" w:rsidRDefault="00DA1E36" w:rsidP="00907269">
      <w:pPr>
        <w:spacing w:after="160" w:line="259" w:lineRule="auto"/>
        <w:jc w:val="center"/>
        <w:rPr>
          <w:rFonts w:ascii="Arial" w:hAnsi="Arial" w:cs="Arial"/>
          <w:b/>
        </w:rPr>
      </w:pPr>
    </w:p>
    <w:p w14:paraId="0BDC2BEA" w14:textId="77777777" w:rsidR="00DA1E36" w:rsidRDefault="00DA1E36" w:rsidP="00907269">
      <w:pPr>
        <w:spacing w:after="160" w:line="259" w:lineRule="auto"/>
        <w:jc w:val="center"/>
        <w:rPr>
          <w:rFonts w:ascii="Arial" w:hAnsi="Arial" w:cs="Arial"/>
          <w:b/>
        </w:rPr>
      </w:pPr>
    </w:p>
    <w:p w14:paraId="188D595F" w14:textId="77777777" w:rsidR="00DA1E36" w:rsidRDefault="00DA1E36" w:rsidP="00907269">
      <w:pPr>
        <w:spacing w:after="160" w:line="259" w:lineRule="auto"/>
        <w:jc w:val="center"/>
        <w:rPr>
          <w:rFonts w:ascii="Arial" w:hAnsi="Arial" w:cs="Arial"/>
          <w:b/>
        </w:rPr>
      </w:pPr>
    </w:p>
    <w:p w14:paraId="01AA4F2F" w14:textId="77777777" w:rsidR="00DA1E36" w:rsidRDefault="00DA1E36" w:rsidP="00907269">
      <w:pPr>
        <w:spacing w:after="160" w:line="259" w:lineRule="auto"/>
        <w:jc w:val="center"/>
      </w:pPr>
    </w:p>
    <w:p w14:paraId="677B36B0" w14:textId="77777777" w:rsidR="004E00FF" w:rsidRDefault="00E11D60" w:rsidP="00DA1E36">
      <w:pPr>
        <w:spacing w:after="160" w:line="259" w:lineRule="auto"/>
        <w:jc w:val="center"/>
      </w:pPr>
      <w:r>
        <w:object w:dxaOrig="14880" w:dyaOrig="11790" w14:anchorId="5F07F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nical Center Complex(CCC) ORF Contractor Single Point of Entry Flow Diagram" style="width:526.05pt;height:416.2pt" o:ole="">
            <v:imagedata r:id="rId10" o:title=""/>
          </v:shape>
          <o:OLEObject Type="Embed" ProgID="Visio.Drawing.15" ShapeID="_x0000_i1025" DrawAspect="Content" ObjectID="_1594019722" r:id="rId11"/>
        </w:object>
      </w:r>
    </w:p>
    <w:p w14:paraId="7DAC5DFE" w14:textId="5C420042" w:rsidR="00907269" w:rsidRDefault="004B5893" w:rsidP="00DA1E36">
      <w:pPr>
        <w:spacing w:after="160" w:line="259" w:lineRule="auto"/>
        <w:jc w:val="center"/>
        <w:rPr>
          <w:rFonts w:ascii="Arial" w:hAnsi="Arial" w:cs="Arial"/>
          <w:noProof/>
        </w:rPr>
      </w:pPr>
      <w:hyperlink r:id="rId12" w:tooltip="Clinical Center Complex(CCC) ORF Contractor Single Point of Entry Flow Diagram  - Accessible Version " w:history="1">
        <w:r w:rsidR="004E00FF" w:rsidRPr="004E00FF">
          <w:rPr>
            <w:rStyle w:val="Hyperlink"/>
            <w:rFonts w:ascii="Segoe UI" w:hAnsi="Segoe UI" w:cs="Segoe UI"/>
            <w:sz w:val="20"/>
            <w:szCs w:val="20"/>
          </w:rPr>
          <w:t>Clinical Center Complex(CCC) ORF Contractor Single Point of Entry Flow Diagram - Accessible Version</w:t>
        </w:r>
      </w:hyperlink>
      <w:r w:rsidR="004E00FF">
        <w:rPr>
          <w:rFonts w:ascii="Segoe UI" w:hAnsi="Segoe UI" w:cs="Segoe UI"/>
          <w:color w:val="000000"/>
          <w:sz w:val="20"/>
          <w:szCs w:val="20"/>
        </w:rPr>
        <w:t xml:space="preserve"> </w:t>
      </w:r>
      <w:r w:rsidR="00907269">
        <w:br w:type="page"/>
      </w:r>
    </w:p>
    <w:p w14:paraId="589EC1A6" w14:textId="77777777" w:rsidR="00907269" w:rsidRDefault="00907269" w:rsidP="00907269">
      <w:pPr>
        <w:jc w:val="center"/>
        <w:rPr>
          <w:rFonts w:ascii="Arial" w:hAnsi="Arial" w:cs="Arial"/>
        </w:rPr>
      </w:pPr>
      <w:r w:rsidRPr="006E2104">
        <w:rPr>
          <w:rFonts w:ascii="Arial" w:hAnsi="Arial" w:cs="Arial"/>
          <w:b/>
        </w:rPr>
        <w:lastRenderedPageBreak/>
        <w:t xml:space="preserve">Appendix </w:t>
      </w:r>
      <w:r>
        <w:rPr>
          <w:rFonts w:ascii="Arial" w:hAnsi="Arial" w:cs="Arial"/>
          <w:b/>
        </w:rPr>
        <w:t>B</w:t>
      </w:r>
    </w:p>
    <w:p w14:paraId="5D77E3BB" w14:textId="77777777" w:rsidR="00907269" w:rsidRDefault="00907269" w:rsidP="00907269">
      <w:pPr>
        <w:spacing w:after="160" w:line="259" w:lineRule="auto"/>
        <w:jc w:val="center"/>
        <w:rPr>
          <w:rFonts w:ascii="Arial" w:hAnsi="Arial" w:cs="Arial"/>
          <w:noProof/>
        </w:rPr>
      </w:pPr>
    </w:p>
    <w:p w14:paraId="5B686263" w14:textId="77777777" w:rsidR="00907269" w:rsidRDefault="00907269" w:rsidP="00907269">
      <w:pPr>
        <w:spacing w:after="160" w:line="259" w:lineRule="auto"/>
        <w:jc w:val="center"/>
        <w:rPr>
          <w:rFonts w:ascii="Arial" w:hAnsi="Arial" w:cs="Arial"/>
          <w:noProof/>
        </w:rPr>
      </w:pPr>
    </w:p>
    <w:p w14:paraId="4E93478E" w14:textId="77777777" w:rsidR="00907269" w:rsidRDefault="00907269" w:rsidP="00907269">
      <w:pPr>
        <w:spacing w:after="160" w:line="259" w:lineRule="auto"/>
        <w:jc w:val="center"/>
        <w:rPr>
          <w:rFonts w:ascii="Arial" w:hAnsi="Arial" w:cs="Arial"/>
          <w:noProof/>
        </w:rPr>
      </w:pPr>
    </w:p>
    <w:p w14:paraId="032CF964" w14:textId="77777777" w:rsidR="00907269" w:rsidRDefault="00907269" w:rsidP="00907269">
      <w:pPr>
        <w:spacing w:after="160" w:line="259" w:lineRule="auto"/>
        <w:jc w:val="center"/>
        <w:rPr>
          <w:rFonts w:ascii="Arial" w:hAnsi="Arial" w:cs="Arial"/>
          <w:noProof/>
        </w:rPr>
      </w:pPr>
    </w:p>
    <w:p w14:paraId="6F682CE5" w14:textId="77777777" w:rsidR="00907269" w:rsidRDefault="00907269" w:rsidP="00907269">
      <w:pPr>
        <w:spacing w:after="160" w:line="259" w:lineRule="auto"/>
        <w:jc w:val="center"/>
        <w:rPr>
          <w:rFonts w:ascii="Arial" w:hAnsi="Arial" w:cs="Arial"/>
          <w:noProof/>
        </w:rPr>
      </w:pPr>
    </w:p>
    <w:p w14:paraId="0A8F368C" w14:textId="77777777" w:rsidR="00907269" w:rsidRDefault="002C4B7A" w:rsidP="00907269">
      <w:pPr>
        <w:spacing w:after="160" w:line="259" w:lineRule="auto"/>
        <w:jc w:val="center"/>
        <w:rPr>
          <w:rFonts w:ascii="Arial" w:hAnsi="Arial" w:cs="Arial"/>
          <w:noProof/>
        </w:rPr>
      </w:pPr>
      <w:r>
        <w:rPr>
          <w:rFonts w:ascii="Arial" w:hAnsi="Arial" w:cs="Arial"/>
          <w:noProof/>
        </w:rPr>
        <w:drawing>
          <wp:inline distT="0" distB="0" distL="0" distR="0" wp14:anchorId="4F239F8E" wp14:editId="24ACF9DB">
            <wp:extent cx="5939790" cy="3935730"/>
            <wp:effectExtent l="0" t="0" r="3810" b="7620"/>
            <wp:docPr id="1" name="Picture 1" descr="Contractor single point of entry policy includes company name, authorized access areas, and persons who authorized. The second section identification badge includes employee name, photo and employees title, note that the badge is only valid for area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935730"/>
                    </a:xfrm>
                    <a:prstGeom prst="rect">
                      <a:avLst/>
                    </a:prstGeom>
                    <a:noFill/>
                    <a:ln>
                      <a:noFill/>
                    </a:ln>
                  </pic:spPr>
                </pic:pic>
              </a:graphicData>
            </a:graphic>
          </wp:inline>
        </w:drawing>
      </w:r>
    </w:p>
    <w:p w14:paraId="332C4BE3" w14:textId="77777777" w:rsidR="00907269" w:rsidRDefault="00907269" w:rsidP="00907269">
      <w:pPr>
        <w:spacing w:after="160" w:line="259" w:lineRule="auto"/>
        <w:jc w:val="center"/>
      </w:pPr>
    </w:p>
    <w:p w14:paraId="456811B1" w14:textId="77777777" w:rsidR="00907269" w:rsidRDefault="00907269" w:rsidP="00907269">
      <w:pPr>
        <w:spacing w:after="160" w:line="259" w:lineRule="auto"/>
        <w:jc w:val="center"/>
      </w:pPr>
    </w:p>
    <w:p w14:paraId="447B7F0E" w14:textId="77777777" w:rsidR="00907269" w:rsidRDefault="00907269" w:rsidP="00907269">
      <w:pPr>
        <w:spacing w:after="160" w:line="259" w:lineRule="auto"/>
        <w:jc w:val="center"/>
      </w:pPr>
    </w:p>
    <w:p w14:paraId="50C60810" w14:textId="77777777" w:rsidR="00907269" w:rsidRDefault="00907269">
      <w:pPr>
        <w:spacing w:after="160" w:line="259" w:lineRule="auto"/>
      </w:pPr>
      <w:r>
        <w:br w:type="page"/>
      </w:r>
    </w:p>
    <w:p w14:paraId="58302EB2" w14:textId="77777777" w:rsidR="00907269" w:rsidRDefault="00907269" w:rsidP="00907269">
      <w:pPr>
        <w:jc w:val="center"/>
        <w:rPr>
          <w:rFonts w:ascii="Arial" w:hAnsi="Arial" w:cs="Arial"/>
          <w:b/>
        </w:rPr>
      </w:pPr>
      <w:r w:rsidRPr="006E2104">
        <w:rPr>
          <w:rFonts w:ascii="Arial" w:hAnsi="Arial" w:cs="Arial"/>
          <w:b/>
        </w:rPr>
        <w:lastRenderedPageBreak/>
        <w:t xml:space="preserve">Appendix </w:t>
      </w:r>
      <w:r>
        <w:rPr>
          <w:rFonts w:ascii="Arial" w:hAnsi="Arial" w:cs="Arial"/>
          <w:b/>
        </w:rPr>
        <w:t>C</w:t>
      </w:r>
    </w:p>
    <w:p w14:paraId="4B7C372F" w14:textId="77777777" w:rsidR="00907269" w:rsidRDefault="00907269" w:rsidP="00907269">
      <w:pPr>
        <w:jc w:val="center"/>
        <w:rPr>
          <w:rFonts w:ascii="Arial" w:hAnsi="Arial" w:cs="Arial"/>
          <w:b/>
        </w:rPr>
      </w:pPr>
    </w:p>
    <w:p w14:paraId="775DDBB7" w14:textId="77777777" w:rsidR="00907269" w:rsidRDefault="00907269" w:rsidP="00907269">
      <w:pPr>
        <w:jc w:val="center"/>
        <w:rPr>
          <w:rFonts w:ascii="Arial" w:hAnsi="Arial" w:cs="Arial"/>
        </w:rPr>
      </w:pPr>
    </w:p>
    <w:p w14:paraId="66C2ECEB" w14:textId="77777777" w:rsidR="00907269" w:rsidRDefault="00907269" w:rsidP="002C3F86">
      <w:pPr>
        <w:spacing w:after="160" w:line="259" w:lineRule="auto"/>
      </w:pPr>
      <w:r>
        <w:rPr>
          <w:noProof/>
        </w:rPr>
        <w:drawing>
          <wp:inline distT="0" distB="0" distL="0" distR="0" wp14:anchorId="1AFA1649" wp14:editId="0735AC30">
            <wp:extent cx="6543675" cy="5093720"/>
            <wp:effectExtent l="0" t="0" r="0" b="0"/>
            <wp:docPr id="3074" name="Picture 3" descr="Emphasis placed on the Security Check P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 descr="D:\Drop Box Files\My Dropbox\OHPE share\Contractor Material Route 2.wmf"/>
                    <pic:cNvPicPr>
                      <a:picLocks noChangeAspect="1" noChangeArrowheads="1"/>
                    </pic:cNvPicPr>
                  </pic:nvPicPr>
                  <pic:blipFill>
                    <a:blip r:embed="rId14" cstate="screen">
                      <a:extLst>
                        <a:ext uri="{28A0092B-C50C-407E-A947-70E740481C1C}">
                          <a14:useLocalDpi xmlns:a14="http://schemas.microsoft.com/office/drawing/2010/main"/>
                        </a:ext>
                      </a:extLst>
                    </a:blip>
                    <a:srcRect l="24324" t="24336" r="29955" b="2502"/>
                    <a:stretch>
                      <a:fillRect/>
                    </a:stretch>
                  </pic:blipFill>
                  <pic:spPr bwMode="auto">
                    <a:xfrm>
                      <a:off x="0" y="0"/>
                      <a:ext cx="6548571" cy="5097531"/>
                    </a:xfrm>
                    <a:prstGeom prst="rect">
                      <a:avLst/>
                    </a:prstGeom>
                    <a:noFill/>
                    <a:ln>
                      <a:noFill/>
                    </a:ln>
                    <a:extLst/>
                  </pic:spPr>
                </pic:pic>
              </a:graphicData>
            </a:graphic>
          </wp:inline>
        </w:drawing>
      </w:r>
    </w:p>
    <w:sectPr w:rsidR="0090726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A51A" w14:textId="77777777" w:rsidR="00E66967" w:rsidRDefault="00E66967" w:rsidP="005514CE">
      <w:r>
        <w:separator/>
      </w:r>
    </w:p>
  </w:endnote>
  <w:endnote w:type="continuationSeparator" w:id="0">
    <w:p w14:paraId="6171591A" w14:textId="77777777" w:rsidR="00E66967" w:rsidRDefault="00E66967" w:rsidP="005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ne Draw 12cp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B48D" w14:textId="77777777" w:rsidR="00B9334C" w:rsidRDefault="00B93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4873" w14:textId="77777777" w:rsidR="00B9334C" w:rsidRDefault="00B93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7CEC" w14:textId="77777777" w:rsidR="00B9334C" w:rsidRDefault="00B9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87DB" w14:textId="77777777" w:rsidR="00E66967" w:rsidRDefault="00E66967" w:rsidP="005514CE">
      <w:r>
        <w:separator/>
      </w:r>
    </w:p>
  </w:footnote>
  <w:footnote w:type="continuationSeparator" w:id="0">
    <w:p w14:paraId="4C12C59A" w14:textId="77777777" w:rsidR="00E66967" w:rsidRDefault="00E66967" w:rsidP="00551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7C5E" w14:textId="77777777" w:rsidR="00B9334C" w:rsidRDefault="00B93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7870" w14:textId="77777777" w:rsidR="00B9334C" w:rsidRDefault="00233AE0" w:rsidP="00233AE0">
    <w:pPr>
      <w:rPr>
        <w:b/>
      </w:rPr>
    </w:pPr>
    <w:r w:rsidRPr="00233AE0">
      <w:rPr>
        <w:noProof/>
      </w:rPr>
      <w:drawing>
        <wp:inline distT="0" distB="0" distL="0" distR="0" wp14:anchorId="4F45EF1A" wp14:editId="48F29CA0">
          <wp:extent cx="848326" cy="585216"/>
          <wp:effectExtent l="0" t="0" r="9525" b="5715"/>
          <wp:docPr id="2" name="Picture 2" descr="The National Institute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44" cy="593782"/>
                  </a:xfrm>
                  <a:prstGeom prst="rect">
                    <a:avLst/>
                  </a:prstGeom>
                  <a:noFill/>
                  <a:ln>
                    <a:noFill/>
                  </a:ln>
                </pic:spPr>
              </pic:pic>
            </a:graphicData>
          </a:graphic>
        </wp:inline>
      </w:drawing>
    </w:r>
    <w:r w:rsidRPr="00233AE0">
      <w:rPr>
        <w:rStyle w:val="Heading3Char"/>
        <w:rFonts w:ascii="Times New Roman" w:eastAsiaTheme="majorEastAsia" w:hAnsi="Times New Roman"/>
        <w:color w:val="auto"/>
        <w:sz w:val="24"/>
      </w:rPr>
      <w:t xml:space="preserve"> </w:t>
    </w:r>
    <w:r>
      <w:rPr>
        <w:rStyle w:val="Heading3Char"/>
        <w:rFonts w:ascii="Times New Roman" w:eastAsiaTheme="majorEastAsia" w:hAnsi="Times New Roman"/>
        <w:color w:val="auto"/>
        <w:sz w:val="24"/>
      </w:rPr>
      <w:t xml:space="preserve">  </w:t>
    </w:r>
    <w:r w:rsidRPr="00E80260">
      <w:rPr>
        <w:rStyle w:val="Heading3Char"/>
        <w:rFonts w:ascii="Times New Roman" w:eastAsiaTheme="majorEastAsia" w:hAnsi="Times New Roman"/>
        <w:color w:val="auto"/>
        <w:sz w:val="24"/>
      </w:rPr>
      <w:t>SECTION 3-1</w:t>
    </w:r>
    <w:r>
      <w:rPr>
        <w:rStyle w:val="Heading3Char"/>
        <w:rFonts w:ascii="Times New Roman" w:eastAsiaTheme="majorEastAsia" w:hAnsi="Times New Roman"/>
        <w:color w:val="auto"/>
        <w:sz w:val="24"/>
      </w:rPr>
      <w:t>7</w:t>
    </w:r>
    <w:r w:rsidRPr="00E80260">
      <w:rPr>
        <w:b/>
        <w:sz w:val="32"/>
      </w:rPr>
      <w:t xml:space="preserve"> </w:t>
    </w:r>
    <w:r w:rsidRPr="00211F32">
      <w:rPr>
        <w:b/>
      </w:rPr>
      <w:t xml:space="preserve">CLINICAL CENTER COMPLEX (CCC) </w:t>
    </w:r>
  </w:p>
  <w:p w14:paraId="44A22D57" w14:textId="77777777" w:rsidR="00233AE0" w:rsidRPr="00211F32" w:rsidRDefault="00B9334C" w:rsidP="00B9334C">
    <w:pPr>
      <w:rPr>
        <w:b/>
      </w:rPr>
    </w:pPr>
    <w:r>
      <w:rPr>
        <w:b/>
      </w:rPr>
      <w:tab/>
    </w:r>
    <w:r>
      <w:rPr>
        <w:b/>
      </w:rPr>
      <w:tab/>
      <w:t xml:space="preserve"> </w:t>
    </w:r>
    <w:r w:rsidRPr="00B9334C">
      <w:rPr>
        <w:b/>
      </w:rPr>
      <w:t>CONTRACTOR</w:t>
    </w:r>
    <w:r>
      <w:rPr>
        <w:b/>
      </w:rPr>
      <w:t xml:space="preserve">  </w:t>
    </w:r>
    <w:r w:rsidR="00233AE0">
      <w:rPr>
        <w:b/>
      </w:rPr>
      <w:t>SINGLE POINT</w:t>
    </w:r>
    <w:r>
      <w:rPr>
        <w:b/>
      </w:rPr>
      <w:t xml:space="preserve"> </w:t>
    </w:r>
    <w:r w:rsidR="00233AE0">
      <w:rPr>
        <w:b/>
      </w:rPr>
      <w:t xml:space="preserve">OF </w:t>
    </w:r>
    <w:r w:rsidR="000B131F">
      <w:rPr>
        <w:b/>
      </w:rPr>
      <w:t xml:space="preserve">ENTRY </w:t>
    </w:r>
    <w:r w:rsidR="00233AE0">
      <w:rPr>
        <w:b/>
      </w:rPr>
      <w:t>POLICY (SPEP)</w:t>
    </w:r>
  </w:p>
  <w:p w14:paraId="1CB2357B" w14:textId="77777777" w:rsidR="00233AE0" w:rsidRDefault="00233AE0" w:rsidP="00233AE0">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C103" w14:textId="77777777" w:rsidR="00B9334C" w:rsidRDefault="00B93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5B1"/>
    <w:multiLevelType w:val="hybridMultilevel"/>
    <w:tmpl w:val="C07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323C"/>
    <w:multiLevelType w:val="hybridMultilevel"/>
    <w:tmpl w:val="3E66272E"/>
    <w:lvl w:ilvl="0" w:tplc="04090019">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 w15:restartNumberingAfterBreak="0">
    <w:nsid w:val="025C34D9"/>
    <w:multiLevelType w:val="hybridMultilevel"/>
    <w:tmpl w:val="CAFE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0DE3"/>
    <w:multiLevelType w:val="hybridMultilevel"/>
    <w:tmpl w:val="CC1AA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597A"/>
    <w:multiLevelType w:val="hybridMultilevel"/>
    <w:tmpl w:val="C3B2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1220"/>
    <w:multiLevelType w:val="hybridMultilevel"/>
    <w:tmpl w:val="9176C196"/>
    <w:lvl w:ilvl="0" w:tplc="21CE28F2">
      <w:start w:val="5"/>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26176"/>
    <w:multiLevelType w:val="hybridMultilevel"/>
    <w:tmpl w:val="4D96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32AED"/>
    <w:multiLevelType w:val="hybridMultilevel"/>
    <w:tmpl w:val="02D29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F5ECE"/>
    <w:multiLevelType w:val="hybridMultilevel"/>
    <w:tmpl w:val="8A44F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10E79BE"/>
    <w:multiLevelType w:val="hybridMultilevel"/>
    <w:tmpl w:val="5546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C683D"/>
    <w:multiLevelType w:val="hybridMultilevel"/>
    <w:tmpl w:val="57F6E77E"/>
    <w:lvl w:ilvl="0" w:tplc="67F479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5164"/>
    <w:multiLevelType w:val="hybridMultilevel"/>
    <w:tmpl w:val="7780D1E4"/>
    <w:lvl w:ilvl="0" w:tplc="FB08E7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4893"/>
    <w:multiLevelType w:val="hybridMultilevel"/>
    <w:tmpl w:val="F7E0E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F478FD"/>
    <w:multiLevelType w:val="hybridMultilevel"/>
    <w:tmpl w:val="A816F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609D0"/>
    <w:multiLevelType w:val="hybridMultilevel"/>
    <w:tmpl w:val="5F44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65A41"/>
    <w:multiLevelType w:val="hybridMultilevel"/>
    <w:tmpl w:val="F7E0E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7D2824"/>
    <w:multiLevelType w:val="hybridMultilevel"/>
    <w:tmpl w:val="9508B8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B357C8"/>
    <w:multiLevelType w:val="hybridMultilevel"/>
    <w:tmpl w:val="DAF4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74FD6"/>
    <w:multiLevelType w:val="hybridMultilevel"/>
    <w:tmpl w:val="5058B2A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0B5430B"/>
    <w:multiLevelType w:val="hybridMultilevel"/>
    <w:tmpl w:val="012684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C44C0D"/>
    <w:multiLevelType w:val="hybridMultilevel"/>
    <w:tmpl w:val="01B60C4E"/>
    <w:lvl w:ilvl="0" w:tplc="47C023A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258E3"/>
    <w:multiLevelType w:val="hybridMultilevel"/>
    <w:tmpl w:val="310873EE"/>
    <w:lvl w:ilvl="0" w:tplc="021685F0">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AA710D"/>
    <w:multiLevelType w:val="hybridMultilevel"/>
    <w:tmpl w:val="A816F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530D3"/>
    <w:multiLevelType w:val="hybridMultilevel"/>
    <w:tmpl w:val="72F4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C5879"/>
    <w:multiLevelType w:val="hybridMultilevel"/>
    <w:tmpl w:val="DBD4F7E6"/>
    <w:lvl w:ilvl="0" w:tplc="C03E9D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1D7A"/>
    <w:multiLevelType w:val="hybridMultilevel"/>
    <w:tmpl w:val="F45C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707F2"/>
    <w:multiLevelType w:val="hybridMultilevel"/>
    <w:tmpl w:val="E846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A454F"/>
    <w:multiLevelType w:val="hybridMultilevel"/>
    <w:tmpl w:val="7A8C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0315D"/>
    <w:multiLevelType w:val="hybridMultilevel"/>
    <w:tmpl w:val="E1EE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51E12"/>
    <w:multiLevelType w:val="hybridMultilevel"/>
    <w:tmpl w:val="B4B4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7672B"/>
    <w:multiLevelType w:val="hybridMultilevel"/>
    <w:tmpl w:val="6BEEE9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65E8A"/>
    <w:multiLevelType w:val="hybridMultilevel"/>
    <w:tmpl w:val="5546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6DEE"/>
    <w:multiLevelType w:val="hybridMultilevel"/>
    <w:tmpl w:val="0F7A01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1D22D3"/>
    <w:multiLevelType w:val="hybridMultilevel"/>
    <w:tmpl w:val="84006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B46C5"/>
    <w:multiLevelType w:val="hybridMultilevel"/>
    <w:tmpl w:val="8D52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B15E1"/>
    <w:multiLevelType w:val="hybridMultilevel"/>
    <w:tmpl w:val="095ED322"/>
    <w:lvl w:ilvl="0" w:tplc="0409000F">
      <w:start w:val="1"/>
      <w:numFmt w:val="decimal"/>
      <w:lvlText w:val="%1."/>
      <w:lvlJc w:val="left"/>
      <w:pPr>
        <w:ind w:left="720" w:hanging="360"/>
      </w:pPr>
    </w:lvl>
    <w:lvl w:ilvl="1" w:tplc="65B44B72">
      <w:start w:val="8"/>
      <w:numFmt w:val="bullet"/>
      <w:lvlText w:val="•"/>
      <w:lvlJc w:val="left"/>
      <w:pPr>
        <w:ind w:left="1470" w:hanging="39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87352"/>
    <w:multiLevelType w:val="hybridMultilevel"/>
    <w:tmpl w:val="778C8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6188E"/>
    <w:multiLevelType w:val="hybridMultilevel"/>
    <w:tmpl w:val="12967EFC"/>
    <w:lvl w:ilvl="0" w:tplc="C1E4E180">
      <w:start w:val="2"/>
      <w:numFmt w:val="lowerLetter"/>
      <w:lvlText w:val="%1."/>
      <w:lvlJc w:val="left"/>
      <w:pPr>
        <w:ind w:left="1080" w:hanging="360"/>
      </w:pPr>
      <w:rPr>
        <w:rFonts w:hint="default"/>
      </w:rPr>
    </w:lvl>
    <w:lvl w:ilvl="1" w:tplc="8304BD8E">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24426F"/>
    <w:multiLevelType w:val="hybridMultilevel"/>
    <w:tmpl w:val="A478F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42141"/>
    <w:multiLevelType w:val="hybridMultilevel"/>
    <w:tmpl w:val="5492B7FA"/>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0" w15:restartNumberingAfterBreak="0">
    <w:nsid w:val="74855590"/>
    <w:multiLevelType w:val="hybridMultilevel"/>
    <w:tmpl w:val="8892B38E"/>
    <w:lvl w:ilvl="0" w:tplc="04090019">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1" w15:restartNumberingAfterBreak="0">
    <w:nsid w:val="77ED2126"/>
    <w:multiLevelType w:val="hybridMultilevel"/>
    <w:tmpl w:val="04080F20"/>
    <w:lvl w:ilvl="0" w:tplc="0409000F">
      <w:start w:val="1"/>
      <w:numFmt w:val="decimal"/>
      <w:lvlText w:val="%1."/>
      <w:lvlJc w:val="left"/>
      <w:pPr>
        <w:ind w:left="770" w:hanging="360"/>
      </w:pPr>
      <w:rPr>
        <w:rFonts w:cs="Times New Roman" w:hint="default"/>
        <w:caps/>
      </w:rPr>
    </w:lvl>
    <w:lvl w:ilvl="1" w:tplc="04090019" w:tentative="1">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79A21BBA"/>
    <w:multiLevelType w:val="hybridMultilevel"/>
    <w:tmpl w:val="1F7C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C04AA"/>
    <w:multiLevelType w:val="hybridMultilevel"/>
    <w:tmpl w:val="7AFEF156"/>
    <w:lvl w:ilvl="0" w:tplc="04090019">
      <w:start w:val="1"/>
      <w:numFmt w:val="lowerLetter"/>
      <w:lvlText w:val="%1."/>
      <w:lvlJc w:val="left"/>
      <w:pPr>
        <w:ind w:left="1850" w:hanging="360"/>
      </w:pPr>
      <w:rPr>
        <w:rFonts w:hint="default"/>
      </w:rPr>
    </w:lvl>
    <w:lvl w:ilvl="1" w:tplc="0409001B">
      <w:start w:val="1"/>
      <w:numFmt w:val="lowerRoman"/>
      <w:lvlText w:val="%2."/>
      <w:lvlJc w:val="righ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44" w15:restartNumberingAfterBreak="0">
    <w:nsid w:val="7F926B3F"/>
    <w:multiLevelType w:val="hybridMultilevel"/>
    <w:tmpl w:val="BCAC88A8"/>
    <w:lvl w:ilvl="0" w:tplc="2A7C4340">
      <w:start w:val="1"/>
      <w:numFmt w:val="decimal"/>
      <w:lvlText w:val="%1."/>
      <w:lvlJc w:val="left"/>
      <w:pPr>
        <w:ind w:left="2880" w:hanging="360"/>
      </w:pPr>
      <w:rPr>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num>
  <w:num w:numId="2">
    <w:abstractNumId w:val="36"/>
  </w:num>
  <w:num w:numId="3">
    <w:abstractNumId w:val="6"/>
  </w:num>
  <w:num w:numId="4">
    <w:abstractNumId w:val="2"/>
  </w:num>
  <w:num w:numId="5">
    <w:abstractNumId w:val="13"/>
  </w:num>
  <w:num w:numId="6">
    <w:abstractNumId w:val="37"/>
  </w:num>
  <w:num w:numId="7">
    <w:abstractNumId w:val="41"/>
  </w:num>
  <w:num w:numId="8">
    <w:abstractNumId w:val="43"/>
  </w:num>
  <w:num w:numId="9">
    <w:abstractNumId w:val="40"/>
  </w:num>
  <w:num w:numId="10">
    <w:abstractNumId w:val="19"/>
  </w:num>
  <w:num w:numId="11">
    <w:abstractNumId w:val="32"/>
  </w:num>
  <w:num w:numId="12">
    <w:abstractNumId w:val="1"/>
  </w:num>
  <w:num w:numId="13">
    <w:abstractNumId w:val="16"/>
  </w:num>
  <w:num w:numId="14">
    <w:abstractNumId w:val="5"/>
  </w:num>
  <w:num w:numId="15">
    <w:abstractNumId w:val="21"/>
  </w:num>
  <w:num w:numId="16">
    <w:abstractNumId w:val="18"/>
  </w:num>
  <w:num w:numId="17">
    <w:abstractNumId w:val="22"/>
  </w:num>
  <w:num w:numId="18">
    <w:abstractNumId w:val="11"/>
  </w:num>
  <w:num w:numId="19">
    <w:abstractNumId w:val="44"/>
  </w:num>
  <w:num w:numId="20">
    <w:abstractNumId w:val="3"/>
  </w:num>
  <w:num w:numId="21">
    <w:abstractNumId w:val="25"/>
  </w:num>
  <w:num w:numId="22">
    <w:abstractNumId w:val="10"/>
  </w:num>
  <w:num w:numId="23">
    <w:abstractNumId w:val="30"/>
  </w:num>
  <w:num w:numId="24">
    <w:abstractNumId w:val="24"/>
  </w:num>
  <w:num w:numId="25">
    <w:abstractNumId w:val="23"/>
  </w:num>
  <w:num w:numId="26">
    <w:abstractNumId w:val="14"/>
  </w:num>
  <w:num w:numId="27">
    <w:abstractNumId w:val="26"/>
  </w:num>
  <w:num w:numId="28">
    <w:abstractNumId w:val="34"/>
  </w:num>
  <w:num w:numId="29">
    <w:abstractNumId w:val="38"/>
  </w:num>
  <w:num w:numId="30">
    <w:abstractNumId w:val="33"/>
  </w:num>
  <w:num w:numId="31">
    <w:abstractNumId w:val="7"/>
  </w:num>
  <w:num w:numId="32">
    <w:abstractNumId w:val="35"/>
  </w:num>
  <w:num w:numId="33">
    <w:abstractNumId w:val="28"/>
  </w:num>
  <w:num w:numId="34">
    <w:abstractNumId w:val="0"/>
  </w:num>
  <w:num w:numId="35">
    <w:abstractNumId w:val="4"/>
  </w:num>
  <w:num w:numId="36">
    <w:abstractNumId w:val="42"/>
  </w:num>
  <w:num w:numId="37">
    <w:abstractNumId w:val="29"/>
  </w:num>
  <w:num w:numId="38">
    <w:abstractNumId w:val="3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7"/>
  </w:num>
  <w:num w:numId="43">
    <w:abstractNumId w:val="9"/>
  </w:num>
  <w:num w:numId="44">
    <w:abstractNumId w:val="3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79"/>
    <w:rsid w:val="00074F41"/>
    <w:rsid w:val="000B131F"/>
    <w:rsid w:val="000F0B79"/>
    <w:rsid w:val="000F5585"/>
    <w:rsid w:val="001E18E9"/>
    <w:rsid w:val="00233AE0"/>
    <w:rsid w:val="00263768"/>
    <w:rsid w:val="00273BB9"/>
    <w:rsid w:val="002C3F86"/>
    <w:rsid w:val="002C4B7A"/>
    <w:rsid w:val="004159A0"/>
    <w:rsid w:val="00467E91"/>
    <w:rsid w:val="004B5893"/>
    <w:rsid w:val="004E00FF"/>
    <w:rsid w:val="005514CE"/>
    <w:rsid w:val="005B4AF0"/>
    <w:rsid w:val="0061000B"/>
    <w:rsid w:val="0062344B"/>
    <w:rsid w:val="0062727D"/>
    <w:rsid w:val="00697D9C"/>
    <w:rsid w:val="006D081A"/>
    <w:rsid w:val="006F6507"/>
    <w:rsid w:val="007053C4"/>
    <w:rsid w:val="00862578"/>
    <w:rsid w:val="008B74F3"/>
    <w:rsid w:val="008C37B1"/>
    <w:rsid w:val="00907269"/>
    <w:rsid w:val="009A53DB"/>
    <w:rsid w:val="009E6018"/>
    <w:rsid w:val="00A32813"/>
    <w:rsid w:val="00A9727E"/>
    <w:rsid w:val="00AA5EBF"/>
    <w:rsid w:val="00AC084A"/>
    <w:rsid w:val="00AC1FEE"/>
    <w:rsid w:val="00B70DF4"/>
    <w:rsid w:val="00B9334C"/>
    <w:rsid w:val="00BD771B"/>
    <w:rsid w:val="00C26ABF"/>
    <w:rsid w:val="00CF430E"/>
    <w:rsid w:val="00D3321E"/>
    <w:rsid w:val="00D57119"/>
    <w:rsid w:val="00D75869"/>
    <w:rsid w:val="00DA1E36"/>
    <w:rsid w:val="00E11D60"/>
    <w:rsid w:val="00E66967"/>
    <w:rsid w:val="00E9117D"/>
    <w:rsid w:val="00E94B36"/>
    <w:rsid w:val="00EA44B8"/>
    <w:rsid w:val="00EE5A5B"/>
    <w:rsid w:val="00F01B11"/>
    <w:rsid w:val="00F62616"/>
    <w:rsid w:val="00F71DE1"/>
    <w:rsid w:val="00FB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5621A"/>
  <w15:chartTrackingRefBased/>
  <w15:docId w15:val="{B9314487-2A54-4ECE-A16F-F11D708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0B79"/>
    <w:pPr>
      <w:keepNext/>
      <w:overflowPunct w:val="0"/>
      <w:autoSpaceDE w:val="0"/>
      <w:autoSpaceDN w:val="0"/>
      <w:adjustRightInd w:val="0"/>
      <w:spacing w:before="240" w:after="60"/>
      <w:textAlignment w:val="baseline"/>
      <w:outlineLvl w:val="0"/>
    </w:pPr>
    <w:rPr>
      <w:rFonts w:ascii="Arial Narrow" w:hAnsi="Arial Narrow"/>
      <w:caps/>
      <w:kern w:val="28"/>
      <w:sz w:val="36"/>
      <w:szCs w:val="20"/>
    </w:rPr>
  </w:style>
  <w:style w:type="paragraph" w:styleId="Heading2">
    <w:name w:val="heading 2"/>
    <w:basedOn w:val="Normal"/>
    <w:next w:val="Normal"/>
    <w:link w:val="Heading2Char"/>
    <w:uiPriority w:val="9"/>
    <w:unhideWhenUsed/>
    <w:qFormat/>
    <w:rsid w:val="000F0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F0B79"/>
    <w:pPr>
      <w:keepNext/>
      <w:overflowPunct w:val="0"/>
      <w:autoSpaceDE w:val="0"/>
      <w:autoSpaceDN w:val="0"/>
      <w:adjustRightInd w:val="0"/>
      <w:jc w:val="center"/>
      <w:textAlignment w:val="baseline"/>
      <w:outlineLvl w:val="2"/>
    </w:pPr>
    <w:rPr>
      <w:rFonts w:ascii="Arial Narrow" w:hAnsi="Arial Narrow"/>
      <w:b/>
      <w:color w:val="FFFFFF"/>
      <w:sz w:val="20"/>
      <w:szCs w:val="20"/>
    </w:rPr>
  </w:style>
  <w:style w:type="paragraph" w:styleId="Heading4">
    <w:name w:val="heading 4"/>
    <w:basedOn w:val="Normal"/>
    <w:next w:val="Normal"/>
    <w:link w:val="Heading4Char"/>
    <w:uiPriority w:val="9"/>
    <w:unhideWhenUsed/>
    <w:qFormat/>
    <w:rsid w:val="000F0B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F0B79"/>
    <w:pPr>
      <w:keepNext/>
      <w:keepLines/>
      <w:spacing w:before="40"/>
      <w:outlineLvl w:val="4"/>
    </w:pPr>
    <w:rPr>
      <w:rFonts w:eastAsiaTheme="majorEastAsia"/>
    </w:rPr>
  </w:style>
  <w:style w:type="paragraph" w:styleId="Heading6">
    <w:name w:val="heading 6"/>
    <w:basedOn w:val="Normal"/>
    <w:next w:val="Normal"/>
    <w:link w:val="Heading6Char"/>
    <w:uiPriority w:val="9"/>
    <w:unhideWhenUsed/>
    <w:qFormat/>
    <w:rsid w:val="000F0B7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B79"/>
    <w:rPr>
      <w:rFonts w:ascii="Arial Narrow" w:eastAsia="Times New Roman" w:hAnsi="Arial Narrow" w:cs="Times New Roman"/>
      <w:caps/>
      <w:kern w:val="28"/>
      <w:sz w:val="36"/>
      <w:szCs w:val="20"/>
    </w:rPr>
  </w:style>
  <w:style w:type="character" w:customStyle="1" w:styleId="Heading2Char">
    <w:name w:val="Heading 2 Char"/>
    <w:basedOn w:val="DefaultParagraphFont"/>
    <w:link w:val="Heading2"/>
    <w:uiPriority w:val="9"/>
    <w:rsid w:val="000F0B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0F0B79"/>
    <w:rPr>
      <w:rFonts w:ascii="Arial Narrow" w:eastAsia="Times New Roman" w:hAnsi="Arial Narrow" w:cs="Times New Roman"/>
      <w:b/>
      <w:color w:val="FFFFFF"/>
      <w:sz w:val="20"/>
      <w:szCs w:val="20"/>
    </w:rPr>
  </w:style>
  <w:style w:type="character" w:customStyle="1" w:styleId="Heading4Char">
    <w:name w:val="Heading 4 Char"/>
    <w:basedOn w:val="DefaultParagraphFont"/>
    <w:link w:val="Heading4"/>
    <w:uiPriority w:val="9"/>
    <w:rsid w:val="000F0B7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0F0B79"/>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0F0B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0F0B79"/>
    <w:pPr>
      <w:tabs>
        <w:tab w:val="center" w:pos="4320"/>
        <w:tab w:val="right" w:pos="8640"/>
      </w:tabs>
      <w:autoSpaceDE w:val="0"/>
      <w:autoSpaceDN w:val="0"/>
      <w:adjustRightInd w:val="0"/>
    </w:pPr>
    <w:rPr>
      <w:rFonts w:ascii="Line Draw 12cpi" w:hAnsi="Line Draw 12cpi"/>
      <w:sz w:val="20"/>
      <w:szCs w:val="20"/>
    </w:rPr>
  </w:style>
  <w:style w:type="character" w:customStyle="1" w:styleId="HeaderChar">
    <w:name w:val="Header Char"/>
    <w:basedOn w:val="DefaultParagraphFont"/>
    <w:link w:val="Header"/>
    <w:rsid w:val="000F0B79"/>
    <w:rPr>
      <w:rFonts w:ascii="Line Draw 12cpi" w:eastAsia="Times New Roman" w:hAnsi="Line Draw 12cpi" w:cs="Times New Roman"/>
      <w:sz w:val="20"/>
      <w:szCs w:val="20"/>
    </w:rPr>
  </w:style>
  <w:style w:type="character" w:styleId="PageNumber">
    <w:name w:val="page number"/>
    <w:basedOn w:val="DefaultParagraphFont"/>
    <w:rsid w:val="000F0B79"/>
  </w:style>
  <w:style w:type="paragraph" w:styleId="BodyText">
    <w:name w:val="Body Text"/>
    <w:basedOn w:val="Normal"/>
    <w:link w:val="BodyTextChar"/>
    <w:rsid w:val="000F0B79"/>
    <w:pPr>
      <w:overflowPunct w:val="0"/>
      <w:autoSpaceDE w:val="0"/>
      <w:autoSpaceDN w:val="0"/>
      <w:adjustRightInd w:val="0"/>
      <w:jc w:val="both"/>
      <w:textAlignment w:val="baseline"/>
    </w:pPr>
    <w:rPr>
      <w:rFonts w:ascii="Arial Narrow" w:hAnsi="Arial Narrow"/>
      <w:color w:val="0000FF"/>
      <w:sz w:val="28"/>
      <w:szCs w:val="20"/>
    </w:rPr>
  </w:style>
  <w:style w:type="character" w:customStyle="1" w:styleId="BodyTextChar">
    <w:name w:val="Body Text Char"/>
    <w:basedOn w:val="DefaultParagraphFont"/>
    <w:link w:val="BodyText"/>
    <w:rsid w:val="000F0B79"/>
    <w:rPr>
      <w:rFonts w:ascii="Arial Narrow" w:eastAsia="Times New Roman" w:hAnsi="Arial Narrow" w:cs="Times New Roman"/>
      <w:color w:val="0000FF"/>
      <w:sz w:val="28"/>
      <w:szCs w:val="20"/>
    </w:rPr>
  </w:style>
  <w:style w:type="paragraph" w:customStyle="1" w:styleId="Headings">
    <w:name w:val="Headings"/>
    <w:basedOn w:val="BodyText"/>
    <w:link w:val="HeadingsChar"/>
    <w:rsid w:val="000F0B79"/>
    <w:pPr>
      <w:overflowPunct/>
      <w:autoSpaceDE/>
      <w:autoSpaceDN/>
      <w:adjustRightInd/>
      <w:spacing w:after="40"/>
      <w:jc w:val="left"/>
      <w:textAlignment w:val="auto"/>
    </w:pPr>
    <w:rPr>
      <w:rFonts w:ascii="Tahoma" w:hAnsi="Tahoma"/>
      <w:b/>
      <w:color w:val="auto"/>
      <w:sz w:val="20"/>
    </w:rPr>
  </w:style>
  <w:style w:type="character" w:customStyle="1" w:styleId="HeadingsChar">
    <w:name w:val="Headings Char"/>
    <w:basedOn w:val="DefaultParagraphFont"/>
    <w:link w:val="Headings"/>
    <w:rsid w:val="000F0B79"/>
    <w:rPr>
      <w:rFonts w:ascii="Tahoma" w:eastAsia="Times New Roman" w:hAnsi="Tahoma" w:cs="Times New Roman"/>
      <w:b/>
      <w:sz w:val="20"/>
      <w:szCs w:val="20"/>
    </w:rPr>
  </w:style>
  <w:style w:type="paragraph" w:styleId="BalloonText">
    <w:name w:val="Balloon Text"/>
    <w:basedOn w:val="Normal"/>
    <w:link w:val="BalloonTextChar"/>
    <w:uiPriority w:val="99"/>
    <w:semiHidden/>
    <w:unhideWhenUsed/>
    <w:rsid w:val="000F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79"/>
    <w:rPr>
      <w:rFonts w:ascii="Segoe UI" w:eastAsia="Times New Roman" w:hAnsi="Segoe UI" w:cs="Segoe UI"/>
      <w:sz w:val="18"/>
      <w:szCs w:val="18"/>
    </w:rPr>
  </w:style>
  <w:style w:type="character" w:styleId="Hyperlink">
    <w:name w:val="Hyperlink"/>
    <w:basedOn w:val="DefaultParagraphFont"/>
    <w:uiPriority w:val="99"/>
    <w:unhideWhenUsed/>
    <w:rsid w:val="000F0B79"/>
    <w:rPr>
      <w:color w:val="0563C1" w:themeColor="hyperlink"/>
      <w:u w:val="single"/>
    </w:rPr>
  </w:style>
  <w:style w:type="paragraph" w:styleId="ListParagraph">
    <w:name w:val="List Paragraph"/>
    <w:basedOn w:val="Normal"/>
    <w:uiPriority w:val="34"/>
    <w:qFormat/>
    <w:rsid w:val="000F0B79"/>
    <w:pPr>
      <w:ind w:left="720"/>
      <w:contextualSpacing/>
    </w:pPr>
  </w:style>
  <w:style w:type="character" w:customStyle="1" w:styleId="UnresolvedMention1">
    <w:name w:val="Unresolved Mention1"/>
    <w:basedOn w:val="DefaultParagraphFont"/>
    <w:uiPriority w:val="99"/>
    <w:semiHidden/>
    <w:unhideWhenUsed/>
    <w:rsid w:val="000F0B79"/>
    <w:rPr>
      <w:color w:val="808080"/>
      <w:shd w:val="clear" w:color="auto" w:fill="E6E6E6"/>
    </w:rPr>
  </w:style>
  <w:style w:type="paragraph" w:styleId="Footer">
    <w:name w:val="footer"/>
    <w:basedOn w:val="Normal"/>
    <w:link w:val="FooterChar"/>
    <w:uiPriority w:val="99"/>
    <w:unhideWhenUsed/>
    <w:rsid w:val="000F0B79"/>
    <w:pPr>
      <w:tabs>
        <w:tab w:val="center" w:pos="4680"/>
        <w:tab w:val="right" w:pos="9360"/>
      </w:tabs>
    </w:pPr>
  </w:style>
  <w:style w:type="character" w:customStyle="1" w:styleId="FooterChar">
    <w:name w:val="Footer Char"/>
    <w:basedOn w:val="DefaultParagraphFont"/>
    <w:link w:val="Footer"/>
    <w:uiPriority w:val="99"/>
    <w:rsid w:val="000F0B79"/>
    <w:rPr>
      <w:rFonts w:ascii="Times New Roman" w:eastAsia="Times New Roman" w:hAnsi="Times New Roman" w:cs="Times New Roman"/>
      <w:sz w:val="24"/>
      <w:szCs w:val="24"/>
    </w:rPr>
  </w:style>
  <w:style w:type="table" w:styleId="TableGrid">
    <w:name w:val="Table Grid"/>
    <w:basedOn w:val="TableNormal"/>
    <w:uiPriority w:val="39"/>
    <w:rsid w:val="000F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0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812">
      <w:bodyDiv w:val="1"/>
      <w:marLeft w:val="0"/>
      <w:marRight w:val="0"/>
      <w:marTop w:val="0"/>
      <w:marBottom w:val="0"/>
      <w:divBdr>
        <w:top w:val="none" w:sz="0" w:space="0" w:color="auto"/>
        <w:left w:val="none" w:sz="0" w:space="0" w:color="auto"/>
        <w:bottom w:val="none" w:sz="0" w:space="0" w:color="auto"/>
        <w:right w:val="none" w:sz="0" w:space="0" w:color="auto"/>
      </w:divBdr>
    </w:div>
    <w:div w:id="221991480">
      <w:bodyDiv w:val="1"/>
      <w:marLeft w:val="0"/>
      <w:marRight w:val="0"/>
      <w:marTop w:val="0"/>
      <w:marBottom w:val="0"/>
      <w:divBdr>
        <w:top w:val="none" w:sz="0" w:space="0" w:color="auto"/>
        <w:left w:val="none" w:sz="0" w:space="0" w:color="auto"/>
        <w:bottom w:val="none" w:sz="0" w:space="0" w:color="auto"/>
        <w:right w:val="none" w:sz="0" w:space="0" w:color="auto"/>
      </w:divBdr>
    </w:div>
    <w:div w:id="244536842">
      <w:bodyDiv w:val="1"/>
      <w:marLeft w:val="0"/>
      <w:marRight w:val="0"/>
      <w:marTop w:val="0"/>
      <w:marBottom w:val="0"/>
      <w:divBdr>
        <w:top w:val="none" w:sz="0" w:space="0" w:color="auto"/>
        <w:left w:val="none" w:sz="0" w:space="0" w:color="auto"/>
        <w:bottom w:val="none" w:sz="0" w:space="0" w:color="auto"/>
        <w:right w:val="none" w:sz="0" w:space="0" w:color="auto"/>
      </w:divBdr>
    </w:div>
    <w:div w:id="5506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nternal.cc.nih.gov/AdminPolicies/PDF/S-002%20Security%20Risk%20Management%20in%20the%20Hospital%2005252018.pdf"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ors-12fs03.ors.nih.gov\PubDES\ORF_General\1Susans%20ORF%20Employees%20at%20work%20PHOTOS\1%202018%20Summer%20508%20Student%20Intern\4%202018%20Remediated%20Documents%20with%20508%20filename\Documents%20for%20Clarence%20Dukes\DESCRIPTION-OF-APPENDIX-A-FLOW-DIAGRAM-JULY-23-2018-002-508.ppt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licymanual.nih.gov/1381" TargetMode="External"/><Relationship Id="rId14" Type="http://schemas.openxmlformats.org/officeDocument/2006/relationships/image" Target="media/image3.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B85F8-A9DE-409F-ABEA-44117C2EA208}"/>
</file>

<file path=customXml/itemProps2.xml><?xml version="1.0" encoding="utf-8"?>
<ds:datastoreItem xmlns:ds="http://schemas.openxmlformats.org/officeDocument/2006/customXml" ds:itemID="{D773134C-1DA5-4509-A52B-68F24AC93A83}"/>
</file>

<file path=customXml/itemProps3.xml><?xml version="1.0" encoding="utf-8"?>
<ds:datastoreItem xmlns:ds="http://schemas.openxmlformats.org/officeDocument/2006/customXml" ds:itemID="{F6F17039-AF16-47F3-A8A6-0B0402AF25EB}"/>
</file>

<file path=customXml/itemProps4.xml><?xml version="1.0" encoding="utf-8"?>
<ds:datastoreItem xmlns:ds="http://schemas.openxmlformats.org/officeDocument/2006/customXml" ds:itemID="{224F40EC-C9B3-49E4-A51C-823544C204C4}"/>
</file>

<file path=docProps/app.xml><?xml version="1.0" encoding="utf-8"?>
<Properties xmlns="http://schemas.openxmlformats.org/officeDocument/2006/extended-properties" xmlns:vt="http://schemas.openxmlformats.org/officeDocument/2006/docPropsVTypes">
  <Template>Normal.dotm</Template>
  <TotalTime>13</TotalTime>
  <Pages>6</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NIH Facilities Development Manual</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Facilities Development Manual</dc:title>
  <dc:subject>Section 3-17 Contractor Clinical Center Complex</dc:subject>
  <dc:creator>ORF</dc:creator>
  <cp:keywords/>
  <dc:description/>
  <cp:lastModifiedBy>Dukes, Clarence (NIH/OD/ORF) [E]</cp:lastModifiedBy>
  <cp:revision>3</cp:revision>
  <dcterms:created xsi:type="dcterms:W3CDTF">2018-07-25T14:18:00Z</dcterms:created>
  <dcterms:modified xsi:type="dcterms:W3CDTF">2018-07-25T14:29:00Z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ies>
</file>