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ABA" w:rsidRPr="00F97702" w:rsidRDefault="00842ABA" w:rsidP="00C4593C">
      <w:pPr>
        <w:tabs>
          <w:tab w:val="center" w:pos="4680"/>
        </w:tabs>
        <w:spacing w:line="360" w:lineRule="auto"/>
        <w:jc w:val="center"/>
      </w:pPr>
      <w:r w:rsidRPr="00F97702">
        <w:t>DEPARTMENT OF HEALTH AND HUMAN SERVICES</w:t>
      </w:r>
    </w:p>
    <w:p w:rsidR="00842ABA" w:rsidRPr="00F97702" w:rsidRDefault="00842ABA" w:rsidP="00C4593C">
      <w:pPr>
        <w:tabs>
          <w:tab w:val="center" w:pos="4680"/>
        </w:tabs>
        <w:spacing w:line="360" w:lineRule="auto"/>
        <w:jc w:val="center"/>
      </w:pPr>
      <w:r w:rsidRPr="00F97702">
        <w:t>NATIONAL INSTITUTES OF HEALTH</w:t>
      </w:r>
    </w:p>
    <w:p w:rsidR="00842ABA" w:rsidRPr="00F97702" w:rsidRDefault="00842ABA" w:rsidP="00C4593C">
      <w:pPr>
        <w:tabs>
          <w:tab w:val="center" w:pos="4680"/>
        </w:tabs>
        <w:spacing w:line="360" w:lineRule="auto"/>
        <w:jc w:val="center"/>
      </w:pPr>
      <w:r w:rsidRPr="00F97702">
        <w:t>Buildings and Facilities</w:t>
      </w:r>
    </w:p>
    <w:p w:rsidR="00842ABA" w:rsidRPr="00F97702" w:rsidRDefault="00842ABA" w:rsidP="00842ABA"/>
    <w:p w:rsidR="00842ABA" w:rsidRPr="009978AA" w:rsidRDefault="00842ABA" w:rsidP="00C4593C">
      <w:pPr>
        <w:tabs>
          <w:tab w:val="right" w:pos="9360"/>
        </w:tabs>
      </w:pPr>
      <w:r w:rsidRPr="00F97702">
        <w:rPr>
          <w:u w:val="single"/>
        </w:rPr>
        <w:t>FY 201</w:t>
      </w:r>
      <w:r w:rsidR="00A30949">
        <w:rPr>
          <w:u w:val="single"/>
        </w:rPr>
        <w:t>7</w:t>
      </w:r>
      <w:r w:rsidRPr="00F97702">
        <w:rPr>
          <w:u w:val="single"/>
        </w:rPr>
        <w:t xml:space="preserve"> </w:t>
      </w:r>
      <w:r w:rsidRPr="009978AA">
        <w:rPr>
          <w:u w:val="single"/>
        </w:rPr>
        <w:t>Budget</w:t>
      </w:r>
      <w:r w:rsidR="00102434">
        <w:tab/>
      </w:r>
      <w:r w:rsidRPr="009978AA">
        <w:rPr>
          <w:u w:val="single"/>
        </w:rPr>
        <w:t>Page No.</w:t>
      </w:r>
    </w:p>
    <w:p w:rsidR="00842ABA" w:rsidRPr="009978AA" w:rsidRDefault="00842ABA" w:rsidP="00842ABA"/>
    <w:p w:rsidR="00842ABA" w:rsidRPr="00A96708" w:rsidRDefault="00842ABA" w:rsidP="00842ABA">
      <w:pPr>
        <w:tabs>
          <w:tab w:val="right" w:leader="dot" w:pos="9360"/>
        </w:tabs>
      </w:pPr>
      <w:r w:rsidRPr="00A96708">
        <w:t>Appropriation Language</w:t>
      </w:r>
      <w:r w:rsidRPr="00A96708">
        <w:tab/>
        <w:t>2</w:t>
      </w:r>
    </w:p>
    <w:p w:rsidR="00842ABA" w:rsidRPr="00A96708" w:rsidRDefault="00842ABA" w:rsidP="00842ABA">
      <w:pPr>
        <w:tabs>
          <w:tab w:val="right" w:leader="dot" w:pos="9360"/>
        </w:tabs>
      </w:pPr>
    </w:p>
    <w:p w:rsidR="00842ABA" w:rsidRPr="00A96708" w:rsidRDefault="00842ABA" w:rsidP="00842ABA">
      <w:pPr>
        <w:tabs>
          <w:tab w:val="right" w:leader="dot" w:pos="9360"/>
        </w:tabs>
      </w:pPr>
      <w:r w:rsidRPr="00A96708">
        <w:t>Amounts Available for Obligation</w:t>
      </w:r>
      <w:r w:rsidRPr="00A96708">
        <w:tab/>
        <w:t>3</w:t>
      </w:r>
    </w:p>
    <w:p w:rsidR="00842ABA" w:rsidRPr="00A96708" w:rsidRDefault="00842ABA" w:rsidP="00842ABA">
      <w:pPr>
        <w:tabs>
          <w:tab w:val="right" w:leader="dot" w:pos="9360"/>
        </w:tabs>
      </w:pPr>
    </w:p>
    <w:p w:rsidR="00842ABA" w:rsidRPr="00A96708" w:rsidRDefault="00842ABA" w:rsidP="00842ABA">
      <w:pPr>
        <w:tabs>
          <w:tab w:val="right" w:leader="dot" w:pos="9360"/>
        </w:tabs>
      </w:pPr>
      <w:r w:rsidRPr="00A96708">
        <w:t>Major Changes in Budget Request</w:t>
      </w:r>
      <w:r w:rsidRPr="00A96708">
        <w:tab/>
        <w:t>4</w:t>
      </w:r>
    </w:p>
    <w:p w:rsidR="00842ABA" w:rsidRPr="00A96708" w:rsidRDefault="00842ABA" w:rsidP="00842ABA">
      <w:pPr>
        <w:tabs>
          <w:tab w:val="right" w:leader="dot" w:pos="9360"/>
        </w:tabs>
      </w:pPr>
    </w:p>
    <w:p w:rsidR="00842ABA" w:rsidRPr="00A96708" w:rsidRDefault="00842ABA" w:rsidP="00842ABA">
      <w:pPr>
        <w:tabs>
          <w:tab w:val="right" w:leader="dot" w:pos="9360"/>
        </w:tabs>
      </w:pPr>
      <w:r w:rsidRPr="00A96708">
        <w:t>Summary of Changes</w:t>
      </w:r>
      <w:r w:rsidRPr="00A96708">
        <w:tab/>
        <w:t>5</w:t>
      </w:r>
    </w:p>
    <w:p w:rsidR="00842ABA" w:rsidRPr="00A96708" w:rsidRDefault="00842ABA" w:rsidP="00842ABA">
      <w:pPr>
        <w:tabs>
          <w:tab w:val="right" w:leader="dot" w:pos="9360"/>
        </w:tabs>
      </w:pPr>
    </w:p>
    <w:p w:rsidR="00842ABA" w:rsidRPr="00A96708" w:rsidRDefault="00AD01A2" w:rsidP="00842ABA">
      <w:pPr>
        <w:tabs>
          <w:tab w:val="right" w:leader="dot" w:pos="9360"/>
        </w:tabs>
      </w:pPr>
      <w:r>
        <w:t>Budget</w:t>
      </w:r>
      <w:r w:rsidR="00B97561">
        <w:t xml:space="preserve"> </w:t>
      </w:r>
      <w:r w:rsidR="00842ABA" w:rsidRPr="00A96708">
        <w:t>Graph</w:t>
      </w:r>
      <w:r w:rsidR="00842ABA" w:rsidRPr="00A96708">
        <w:tab/>
        <w:t>6</w:t>
      </w:r>
    </w:p>
    <w:p w:rsidR="00842ABA" w:rsidRPr="00A96708" w:rsidRDefault="00842ABA" w:rsidP="00842ABA">
      <w:pPr>
        <w:tabs>
          <w:tab w:val="right" w:leader="dot" w:pos="9360"/>
        </w:tabs>
      </w:pPr>
    </w:p>
    <w:p w:rsidR="00842ABA" w:rsidRPr="00A96708" w:rsidRDefault="00842ABA" w:rsidP="00842ABA">
      <w:pPr>
        <w:tabs>
          <w:tab w:val="right" w:leader="dot" w:pos="9360"/>
        </w:tabs>
      </w:pPr>
      <w:r w:rsidRPr="00A96708">
        <w:t xml:space="preserve">Budget Authority by </w:t>
      </w:r>
      <w:r w:rsidR="00DA328C">
        <w:t>Activity</w:t>
      </w:r>
      <w:r w:rsidRPr="00A96708">
        <w:tab/>
        <w:t>7</w:t>
      </w:r>
    </w:p>
    <w:p w:rsidR="00842ABA" w:rsidRPr="00A96708" w:rsidRDefault="00842ABA" w:rsidP="00842ABA">
      <w:pPr>
        <w:tabs>
          <w:tab w:val="right" w:leader="dot" w:pos="9360"/>
        </w:tabs>
      </w:pPr>
    </w:p>
    <w:p w:rsidR="00842ABA" w:rsidRPr="00A96708" w:rsidRDefault="00842ABA" w:rsidP="00842ABA">
      <w:pPr>
        <w:tabs>
          <w:tab w:val="right" w:leader="dot" w:pos="9360"/>
        </w:tabs>
      </w:pPr>
      <w:r w:rsidRPr="00A96708">
        <w:t>Authorizing Legislation</w:t>
      </w:r>
      <w:r w:rsidRPr="00A96708">
        <w:tab/>
        <w:t>8</w:t>
      </w:r>
    </w:p>
    <w:p w:rsidR="00842ABA" w:rsidRPr="00A96708" w:rsidRDefault="00842ABA" w:rsidP="00842ABA">
      <w:pPr>
        <w:tabs>
          <w:tab w:val="right" w:leader="dot" w:pos="9360"/>
        </w:tabs>
      </w:pPr>
    </w:p>
    <w:p w:rsidR="00842ABA" w:rsidRPr="00A96708" w:rsidRDefault="00842ABA" w:rsidP="00842ABA">
      <w:pPr>
        <w:tabs>
          <w:tab w:val="right" w:leader="dot" w:pos="9360"/>
        </w:tabs>
      </w:pPr>
      <w:r w:rsidRPr="00A96708">
        <w:t>Appropriations History</w:t>
      </w:r>
      <w:r w:rsidRPr="00A96708">
        <w:tab/>
        <w:t>9</w:t>
      </w:r>
    </w:p>
    <w:p w:rsidR="00842ABA" w:rsidRPr="00A96708" w:rsidRDefault="00842ABA" w:rsidP="00842ABA">
      <w:pPr>
        <w:tabs>
          <w:tab w:val="right" w:leader="dot" w:pos="9360"/>
        </w:tabs>
      </w:pPr>
    </w:p>
    <w:p w:rsidR="00842ABA" w:rsidRPr="00A96708" w:rsidRDefault="00842ABA" w:rsidP="00842ABA">
      <w:pPr>
        <w:tabs>
          <w:tab w:val="right" w:leader="dot" w:pos="9360"/>
        </w:tabs>
      </w:pPr>
      <w:r w:rsidRPr="00A96708">
        <w:t>Justification of Budget Request</w:t>
      </w:r>
      <w:r w:rsidRPr="00A96708">
        <w:tab/>
        <w:t>10</w:t>
      </w:r>
    </w:p>
    <w:p w:rsidR="00842ABA" w:rsidRPr="00A96708" w:rsidRDefault="00842ABA" w:rsidP="00842ABA">
      <w:pPr>
        <w:tabs>
          <w:tab w:val="right" w:leader="dot" w:pos="9360"/>
        </w:tabs>
      </w:pPr>
    </w:p>
    <w:p w:rsidR="00842ABA" w:rsidRPr="009978AA" w:rsidRDefault="00842ABA" w:rsidP="00842ABA">
      <w:pPr>
        <w:tabs>
          <w:tab w:val="right" w:leader="dot" w:pos="9360"/>
        </w:tabs>
      </w:pPr>
      <w:r w:rsidRPr="00A96708">
        <w:t>Bud</w:t>
      </w:r>
      <w:r w:rsidR="00DA328C">
        <w:t>get Authority by Object Class</w:t>
      </w:r>
      <w:r w:rsidR="00DA328C">
        <w:tab/>
        <w:t>1</w:t>
      </w:r>
      <w:r w:rsidR="00F244AC">
        <w:t>4</w:t>
      </w:r>
    </w:p>
    <w:p w:rsidR="00842ABA" w:rsidRDefault="00842ABA">
      <w:pPr>
        <w:widowControl/>
        <w:autoSpaceDE/>
        <w:autoSpaceDN/>
        <w:adjustRightInd/>
        <w:rPr>
          <w:b/>
        </w:rPr>
      </w:pPr>
      <w:r>
        <w:rPr>
          <w:b/>
        </w:rPr>
        <w:br w:type="page"/>
      </w:r>
    </w:p>
    <w:p w:rsidR="000A3E73" w:rsidRPr="00C4593C" w:rsidRDefault="000A3E73" w:rsidP="00C4593C">
      <w:pPr>
        <w:tabs>
          <w:tab w:val="right" w:leader="dot" w:pos="8190"/>
          <w:tab w:val="left" w:pos="8640"/>
        </w:tabs>
        <w:spacing w:line="480" w:lineRule="auto"/>
        <w:jc w:val="center"/>
      </w:pPr>
      <w:r w:rsidRPr="00C4593C">
        <w:t>National Institutes of Health</w:t>
      </w:r>
    </w:p>
    <w:p w:rsidR="003A61A6" w:rsidRPr="00934C25" w:rsidRDefault="003A61A6" w:rsidP="00C4593C">
      <w:pPr>
        <w:autoSpaceDE/>
        <w:autoSpaceDN/>
        <w:adjustRightInd/>
        <w:spacing w:line="480" w:lineRule="auto"/>
        <w:jc w:val="center"/>
        <w:rPr>
          <w:rFonts w:eastAsia="Arial"/>
        </w:rPr>
      </w:pPr>
      <w:r w:rsidRPr="00C4593C">
        <w:rPr>
          <w:rFonts w:eastAsia="Arial"/>
        </w:rPr>
        <w:t>BUILDINGS</w:t>
      </w:r>
      <w:r w:rsidRPr="00934C25">
        <w:rPr>
          <w:rFonts w:eastAsia="Arial"/>
          <w:spacing w:val="17"/>
        </w:rPr>
        <w:t xml:space="preserve"> </w:t>
      </w:r>
      <w:r w:rsidRPr="00934C25">
        <w:rPr>
          <w:rFonts w:eastAsia="Arial"/>
        </w:rPr>
        <w:t xml:space="preserve">AND </w:t>
      </w:r>
      <w:r w:rsidRPr="00C4593C">
        <w:rPr>
          <w:rFonts w:eastAsia="Arial"/>
        </w:rPr>
        <w:t>FACILITIES</w:t>
      </w:r>
    </w:p>
    <w:p w:rsidR="003A61A6" w:rsidRPr="004847C1" w:rsidRDefault="003A61A6" w:rsidP="00C4593C">
      <w:pPr>
        <w:autoSpaceDE/>
        <w:autoSpaceDN/>
        <w:adjustRightInd/>
        <w:spacing w:before="200" w:after="200"/>
        <w:rPr>
          <w:rFonts w:eastAsia="Arial"/>
          <w:i/>
        </w:rPr>
      </w:pPr>
      <w:r w:rsidRPr="00866480">
        <w:rPr>
          <w:rFonts w:eastAsia="Arial"/>
        </w:rPr>
        <w:t>For</w:t>
      </w:r>
      <w:r w:rsidRPr="00866480">
        <w:rPr>
          <w:rFonts w:eastAsia="Arial"/>
          <w:spacing w:val="21"/>
        </w:rPr>
        <w:t xml:space="preserve"> </w:t>
      </w:r>
      <w:r w:rsidRPr="00866480">
        <w:rPr>
          <w:rFonts w:eastAsia="Arial"/>
        </w:rPr>
        <w:t>the</w:t>
      </w:r>
      <w:r w:rsidRPr="00866480">
        <w:rPr>
          <w:rFonts w:eastAsia="Arial"/>
          <w:spacing w:val="19"/>
        </w:rPr>
        <w:t xml:space="preserve"> </w:t>
      </w:r>
      <w:r w:rsidRPr="00866480">
        <w:rPr>
          <w:rFonts w:eastAsia="Arial"/>
        </w:rPr>
        <w:t>study</w:t>
      </w:r>
      <w:r w:rsidRPr="00866480">
        <w:rPr>
          <w:rFonts w:eastAsia="Arial"/>
          <w:spacing w:val="33"/>
        </w:rPr>
        <w:t xml:space="preserve"> </w:t>
      </w:r>
      <w:r w:rsidRPr="00866480">
        <w:rPr>
          <w:rFonts w:eastAsia="Arial"/>
        </w:rPr>
        <w:t>of,</w:t>
      </w:r>
      <w:r w:rsidRPr="00866480">
        <w:rPr>
          <w:rFonts w:eastAsia="Arial"/>
          <w:spacing w:val="-2"/>
        </w:rPr>
        <w:t xml:space="preserve"> </w:t>
      </w:r>
      <w:r w:rsidRPr="00866480">
        <w:rPr>
          <w:rFonts w:eastAsia="Arial"/>
        </w:rPr>
        <w:t xml:space="preserve">construction </w:t>
      </w:r>
      <w:r w:rsidRPr="00DB7B1D">
        <w:rPr>
          <w:rFonts w:eastAsia="Arial"/>
          <w:i/>
        </w:rPr>
        <w:t>or</w:t>
      </w:r>
      <w:r w:rsidRPr="00DB7B1D">
        <w:rPr>
          <w:rFonts w:eastAsia="Arial"/>
          <w:i/>
          <w:spacing w:val="11"/>
        </w:rPr>
        <w:t xml:space="preserve"> </w:t>
      </w:r>
      <w:r w:rsidRPr="00DB7B1D">
        <w:rPr>
          <w:rFonts w:eastAsia="Arial"/>
          <w:i/>
        </w:rPr>
        <w:t>demolition</w:t>
      </w:r>
      <w:r w:rsidRPr="00866480">
        <w:rPr>
          <w:rFonts w:eastAsia="Arial"/>
        </w:rPr>
        <w:t xml:space="preserve"> of,</w:t>
      </w:r>
      <w:r w:rsidRPr="00866480">
        <w:rPr>
          <w:rFonts w:eastAsia="Arial"/>
          <w:spacing w:val="-2"/>
        </w:rPr>
        <w:t xml:space="preserve"> </w:t>
      </w:r>
      <w:r w:rsidRPr="00866480">
        <w:rPr>
          <w:rFonts w:eastAsia="Arial"/>
        </w:rPr>
        <w:t>renovation of,</w:t>
      </w:r>
      <w:r w:rsidRPr="00866480">
        <w:rPr>
          <w:rFonts w:eastAsia="Arial"/>
          <w:spacing w:val="-2"/>
        </w:rPr>
        <w:t xml:space="preserve"> </w:t>
      </w:r>
      <w:r w:rsidRPr="00866480">
        <w:rPr>
          <w:rFonts w:eastAsia="Arial"/>
        </w:rPr>
        <w:t>and</w:t>
      </w:r>
      <w:r w:rsidRPr="00866480">
        <w:rPr>
          <w:rFonts w:eastAsia="Arial"/>
          <w:spacing w:val="13"/>
        </w:rPr>
        <w:t xml:space="preserve"> </w:t>
      </w:r>
      <w:r w:rsidRPr="00866480">
        <w:rPr>
          <w:rFonts w:eastAsia="Arial"/>
        </w:rPr>
        <w:t>acquisition of equipment</w:t>
      </w:r>
      <w:r w:rsidR="00857CF5">
        <w:rPr>
          <w:rFonts w:eastAsia="Arial"/>
        </w:rPr>
        <w:t xml:space="preserve"> </w:t>
      </w:r>
      <w:r w:rsidRPr="00866480">
        <w:rPr>
          <w:rFonts w:eastAsia="Arial"/>
        </w:rPr>
        <w:t>for,</w:t>
      </w:r>
      <w:r w:rsidR="00E93AC7">
        <w:rPr>
          <w:rFonts w:eastAsia="Arial"/>
          <w:spacing w:val="17"/>
        </w:rPr>
        <w:t xml:space="preserve"> </w:t>
      </w:r>
      <w:r w:rsidRPr="00866480">
        <w:rPr>
          <w:rFonts w:eastAsia="Arial"/>
          <w:w w:val="110"/>
        </w:rPr>
        <w:t>facilities</w:t>
      </w:r>
      <w:r w:rsidR="00857CF5">
        <w:rPr>
          <w:rFonts w:eastAsia="Arial"/>
          <w:spacing w:val="-9"/>
          <w:w w:val="110"/>
        </w:rPr>
        <w:t xml:space="preserve"> </w:t>
      </w:r>
      <w:r w:rsidRPr="00866480">
        <w:rPr>
          <w:rFonts w:eastAsia="Arial"/>
        </w:rPr>
        <w:t>of</w:t>
      </w:r>
      <w:r w:rsidRPr="00866480">
        <w:rPr>
          <w:rFonts w:eastAsia="Arial"/>
          <w:spacing w:val="-5"/>
        </w:rPr>
        <w:t xml:space="preserve"> </w:t>
      </w:r>
      <w:r w:rsidRPr="00866480">
        <w:rPr>
          <w:rFonts w:eastAsia="Arial"/>
        </w:rPr>
        <w:t>or</w:t>
      </w:r>
      <w:r w:rsidRPr="00866480">
        <w:rPr>
          <w:rFonts w:eastAsia="Arial"/>
          <w:spacing w:val="8"/>
        </w:rPr>
        <w:t xml:space="preserve"> </w:t>
      </w:r>
      <w:r w:rsidRPr="00866480">
        <w:rPr>
          <w:rFonts w:eastAsia="Arial"/>
        </w:rPr>
        <w:t>used</w:t>
      </w:r>
      <w:r w:rsidRPr="00866480">
        <w:rPr>
          <w:rFonts w:eastAsia="Arial"/>
          <w:spacing w:val="-7"/>
        </w:rPr>
        <w:t xml:space="preserve"> </w:t>
      </w:r>
      <w:r w:rsidRPr="00866480">
        <w:rPr>
          <w:rFonts w:eastAsia="Arial"/>
        </w:rPr>
        <w:t>by</w:t>
      </w:r>
      <w:r w:rsidRPr="00866480">
        <w:rPr>
          <w:rFonts w:eastAsia="Arial"/>
          <w:spacing w:val="3"/>
        </w:rPr>
        <w:t xml:space="preserve"> </w:t>
      </w:r>
      <w:r w:rsidRPr="00866480">
        <w:rPr>
          <w:rFonts w:eastAsia="Arial"/>
        </w:rPr>
        <w:t xml:space="preserve">NIH, </w:t>
      </w:r>
      <w:r w:rsidRPr="00866480">
        <w:rPr>
          <w:rFonts w:eastAsia="Arial"/>
          <w:w w:val="109"/>
        </w:rPr>
        <w:t>including</w:t>
      </w:r>
      <w:r w:rsidRPr="00866480">
        <w:rPr>
          <w:rFonts w:eastAsia="Arial"/>
          <w:spacing w:val="-8"/>
          <w:w w:val="109"/>
        </w:rPr>
        <w:t xml:space="preserve"> </w:t>
      </w:r>
      <w:r w:rsidRPr="00866480">
        <w:rPr>
          <w:rFonts w:eastAsia="Arial"/>
        </w:rPr>
        <w:t>the</w:t>
      </w:r>
      <w:r w:rsidRPr="00866480">
        <w:rPr>
          <w:rFonts w:eastAsia="Arial"/>
          <w:spacing w:val="16"/>
        </w:rPr>
        <w:t xml:space="preserve"> </w:t>
      </w:r>
      <w:r w:rsidRPr="00866480">
        <w:rPr>
          <w:rFonts w:eastAsia="Arial"/>
        </w:rPr>
        <w:t>acquisition of</w:t>
      </w:r>
      <w:r w:rsidRPr="00866480">
        <w:rPr>
          <w:rFonts w:eastAsia="Arial"/>
          <w:spacing w:val="-5"/>
        </w:rPr>
        <w:t xml:space="preserve"> </w:t>
      </w:r>
      <w:r w:rsidRPr="00866480">
        <w:rPr>
          <w:rFonts w:eastAsia="Arial"/>
        </w:rPr>
        <w:t>real</w:t>
      </w:r>
      <w:r w:rsidRPr="00866480">
        <w:rPr>
          <w:rFonts w:eastAsia="Arial"/>
          <w:spacing w:val="24"/>
        </w:rPr>
        <w:t xml:space="preserve"> </w:t>
      </w:r>
      <w:r w:rsidRPr="00866480">
        <w:rPr>
          <w:rFonts w:eastAsia="Arial"/>
          <w:w w:val="103"/>
        </w:rPr>
        <w:t>prop</w:t>
      </w:r>
      <w:r w:rsidRPr="00866480">
        <w:rPr>
          <w:rFonts w:eastAsia="Arial"/>
        </w:rPr>
        <w:t>erty,</w:t>
      </w:r>
      <w:r w:rsidR="00C35E49">
        <w:rPr>
          <w:rFonts w:eastAsia="Arial"/>
        </w:rPr>
        <w:t xml:space="preserve"> [</w:t>
      </w:r>
      <w:r w:rsidRPr="00866480">
        <w:rPr>
          <w:rFonts w:eastAsia="Arial"/>
        </w:rPr>
        <w:t>$</w:t>
      </w:r>
      <w:r w:rsidR="004F102E" w:rsidRPr="00866480">
        <w:rPr>
          <w:rFonts w:eastAsia="Arial"/>
        </w:rPr>
        <w:t>128,8</w:t>
      </w:r>
      <w:r w:rsidRPr="00866480">
        <w:rPr>
          <w:rFonts w:eastAsia="Arial"/>
        </w:rPr>
        <w:t>63,000</w:t>
      </w:r>
      <w:r w:rsidR="00C35E49">
        <w:rPr>
          <w:rFonts w:eastAsia="Arial"/>
        </w:rPr>
        <w:t>]</w:t>
      </w:r>
      <w:r w:rsidRPr="00866480">
        <w:rPr>
          <w:rFonts w:eastAsia="Arial"/>
          <w:i/>
        </w:rPr>
        <w:t>$</w:t>
      </w:r>
      <w:r w:rsidR="004847C1">
        <w:rPr>
          <w:rFonts w:eastAsia="Arial"/>
          <w:i/>
        </w:rPr>
        <w:t>1</w:t>
      </w:r>
      <w:r w:rsidR="00C70EC7">
        <w:rPr>
          <w:rFonts w:eastAsia="Arial"/>
          <w:i/>
        </w:rPr>
        <w:t>28,863,000</w:t>
      </w:r>
      <w:r w:rsidRPr="00866480">
        <w:rPr>
          <w:rFonts w:eastAsia="Arial"/>
        </w:rPr>
        <w:t>, to</w:t>
      </w:r>
      <w:r w:rsidRPr="00866480">
        <w:rPr>
          <w:rFonts w:eastAsia="Arial"/>
          <w:spacing w:val="10"/>
        </w:rPr>
        <w:t xml:space="preserve"> </w:t>
      </w:r>
      <w:r w:rsidRPr="00866480">
        <w:rPr>
          <w:rFonts w:eastAsia="Arial"/>
        </w:rPr>
        <w:t>remain</w:t>
      </w:r>
      <w:r w:rsidR="006459A7">
        <w:rPr>
          <w:rFonts w:eastAsia="Arial"/>
          <w:spacing w:val="49"/>
        </w:rPr>
        <w:t xml:space="preserve"> </w:t>
      </w:r>
      <w:r w:rsidRPr="00866480">
        <w:rPr>
          <w:rFonts w:eastAsia="Arial"/>
        </w:rPr>
        <w:t>available</w:t>
      </w:r>
      <w:r w:rsidRPr="00866480">
        <w:rPr>
          <w:rFonts w:eastAsia="Arial"/>
          <w:spacing w:val="47"/>
        </w:rPr>
        <w:t xml:space="preserve"> </w:t>
      </w:r>
      <w:r w:rsidR="00C35E49" w:rsidRPr="00C35E49">
        <w:rPr>
          <w:rFonts w:eastAsia="Arial"/>
        </w:rPr>
        <w:t>[through</w:t>
      </w:r>
      <w:r w:rsidR="00C35E49">
        <w:rPr>
          <w:rFonts w:eastAsia="Arial"/>
          <w:spacing w:val="47"/>
        </w:rPr>
        <w:t xml:space="preserve"> </w:t>
      </w:r>
      <w:r w:rsidRPr="00866480">
        <w:rPr>
          <w:rFonts w:eastAsia="Arial"/>
          <w:w w:val="101"/>
        </w:rPr>
        <w:t>September</w:t>
      </w:r>
      <w:r w:rsidR="004F280D" w:rsidRPr="00866480">
        <w:rPr>
          <w:rFonts w:eastAsia="Arial"/>
        </w:rPr>
        <w:t xml:space="preserve"> 30, 20</w:t>
      </w:r>
      <w:r w:rsidR="006A2890">
        <w:rPr>
          <w:rFonts w:eastAsia="Arial"/>
        </w:rPr>
        <w:t>20</w:t>
      </w:r>
      <w:r w:rsidR="00C35E49">
        <w:rPr>
          <w:rFonts w:eastAsia="Arial"/>
        </w:rPr>
        <w:t>]</w:t>
      </w:r>
      <w:r w:rsidR="00D21735" w:rsidRPr="00866480">
        <w:rPr>
          <w:rFonts w:eastAsia="Arial"/>
          <w:i/>
          <w:w w:val="96"/>
        </w:rPr>
        <w:t>until</w:t>
      </w:r>
      <w:r w:rsidR="00D21735" w:rsidRPr="00866480">
        <w:rPr>
          <w:rFonts w:eastAsia="Arial"/>
          <w:spacing w:val="-12"/>
          <w:w w:val="122"/>
        </w:rPr>
        <w:t xml:space="preserve"> </w:t>
      </w:r>
      <w:r w:rsidRPr="00866480">
        <w:rPr>
          <w:rFonts w:eastAsia="Arial"/>
          <w:i/>
          <w:w w:val="96"/>
        </w:rPr>
        <w:t>expended</w:t>
      </w:r>
      <w:r w:rsidRPr="00866480">
        <w:rPr>
          <w:rFonts w:eastAsia="Arial"/>
          <w:spacing w:val="-14"/>
        </w:rPr>
        <w:t>.</w:t>
      </w:r>
    </w:p>
    <w:p w:rsidR="0053302D" w:rsidRPr="008F79E1" w:rsidRDefault="0053302D" w:rsidP="0053302D">
      <w:pPr>
        <w:widowControl/>
        <w:autoSpaceDE/>
        <w:autoSpaceDN/>
        <w:adjustRightInd/>
        <w:rPr>
          <w:highlight w:val="yellow"/>
        </w:rPr>
      </w:pPr>
    </w:p>
    <w:p w:rsidR="004D2D24" w:rsidRDefault="004D2D24">
      <w:pPr>
        <w:widowControl/>
        <w:autoSpaceDE/>
        <w:autoSpaceDN/>
        <w:adjustRightInd/>
        <w:rPr>
          <w:b/>
          <w:highlight w:val="yellow"/>
        </w:rPr>
        <w:sectPr w:rsidR="004D2D24" w:rsidSect="00E15895">
          <w:headerReference w:type="default" r:id="rId12"/>
          <w:footerReference w:type="default" r:id="rId13"/>
          <w:type w:val="continuous"/>
          <w:pgSz w:w="12240" w:h="15840" w:code="1"/>
          <w:pgMar w:top="1440" w:right="1440" w:bottom="1440" w:left="1440" w:header="720" w:footer="864" w:gutter="0"/>
          <w:cols w:space="720"/>
          <w:noEndnote/>
          <w:docGrid w:linePitch="326"/>
        </w:sectPr>
      </w:pPr>
    </w:p>
    <w:p w:rsidR="004D2D24" w:rsidRPr="008F0011" w:rsidRDefault="00C6137D" w:rsidP="00866480">
      <w:pPr>
        <w:jc w:val="both"/>
        <w:rPr>
          <w:highlight w:val="yellow"/>
        </w:rPr>
        <w:sectPr w:rsidR="004D2D24" w:rsidRPr="008F0011" w:rsidSect="00866480">
          <w:pgSz w:w="12240" w:h="15840" w:code="1"/>
          <w:pgMar w:top="1440" w:right="1440" w:bottom="1440" w:left="1440" w:header="1440" w:footer="864" w:gutter="0"/>
          <w:cols w:space="720"/>
          <w:noEndnote/>
          <w:docGrid w:linePitch="326"/>
        </w:sectPr>
      </w:pPr>
      <w:r>
        <w:rPr>
          <w:noProof/>
        </w:rPr>
        <w:object w:dxaOrig="1440" w:dyaOrig="1440" w14:anchorId="2B5C6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Object is showing a Table for The amount of funds Available for obligation for the upcoming year.  In 2017, the Presidents Budget has $128,863 dollars appropriated.  There is a subtotal for 2017 of $128,863 and the total obligation for 2017 will be $128,863." style="position:absolute;left:0;text-align:left;margin-left:0;margin-top:0;width:478.3pt;height:294.85pt;z-index:251661312;mso-position-horizontal:center;mso-position-horizontal-relative:text;mso-position-vertical:absolute;mso-position-vertical-relative:text">
            <v:imagedata r:id="rId14" o:title=""/>
            <w10:wrap type="square"/>
          </v:shape>
          <o:OLEObject Type="Embed" ProgID="Excel.Sheet.12" ShapeID="_x0000_s1027" DrawAspect="Content" ObjectID="_1517748312" r:id="rId15"/>
        </w:object>
      </w:r>
    </w:p>
    <w:p w:rsidR="009978AA" w:rsidRPr="008F79E1" w:rsidRDefault="009978AA" w:rsidP="009978AA">
      <w:pPr>
        <w:jc w:val="center"/>
        <w:rPr>
          <w:b/>
          <w:bCs/>
        </w:rPr>
      </w:pPr>
      <w:r w:rsidRPr="008F79E1">
        <w:rPr>
          <w:b/>
          <w:bCs/>
        </w:rPr>
        <w:t>Major Changes in the Fiscal Year 201</w:t>
      </w:r>
      <w:r w:rsidR="00AB3144">
        <w:rPr>
          <w:b/>
          <w:bCs/>
        </w:rPr>
        <w:t>7</w:t>
      </w:r>
      <w:r w:rsidRPr="008F79E1">
        <w:rPr>
          <w:b/>
          <w:bCs/>
        </w:rPr>
        <w:t xml:space="preserve"> President’s Budget Request</w:t>
      </w:r>
    </w:p>
    <w:p w:rsidR="009978AA" w:rsidRDefault="009978AA" w:rsidP="00C4593C">
      <w:pPr>
        <w:spacing w:before="240"/>
      </w:pPr>
      <w:r w:rsidRPr="00293943">
        <w:t>Major changes by budget activity are briefly described below.</w:t>
      </w:r>
      <w:r w:rsidR="00B00629">
        <w:t xml:space="preserve"> </w:t>
      </w:r>
      <w:r w:rsidRPr="00293943">
        <w:t xml:space="preserve"> The FY 201</w:t>
      </w:r>
      <w:r w:rsidR="00AB3144">
        <w:t>7</w:t>
      </w:r>
      <w:r w:rsidRPr="00293943">
        <w:t xml:space="preserve"> Buildings and Facilities (B&amp;F) President’s Budget </w:t>
      </w:r>
      <w:r w:rsidR="00C70EC7">
        <w:t xml:space="preserve">request </w:t>
      </w:r>
      <w:r w:rsidR="004847C1">
        <w:t xml:space="preserve">remains flat with the </w:t>
      </w:r>
      <w:r w:rsidR="00293943" w:rsidRPr="00293943">
        <w:t>FY 201</w:t>
      </w:r>
      <w:r w:rsidR="00AB3144">
        <w:t>6</w:t>
      </w:r>
      <w:r w:rsidRPr="00293943">
        <w:t xml:space="preserve"> </w:t>
      </w:r>
      <w:r w:rsidR="0099170C">
        <w:t xml:space="preserve">Enacted </w:t>
      </w:r>
      <w:r w:rsidR="00C70EC7">
        <w:t>level</w:t>
      </w:r>
      <w:r w:rsidR="004847C1">
        <w:t xml:space="preserve"> </w:t>
      </w:r>
      <w:r w:rsidR="00D354C9">
        <w:t>of $</w:t>
      </w:r>
      <w:r w:rsidR="004847C1">
        <w:t>1</w:t>
      </w:r>
      <w:r w:rsidRPr="00293943">
        <w:t>28.</w:t>
      </w:r>
      <w:r w:rsidR="004F102E">
        <w:t>8</w:t>
      </w:r>
      <w:r w:rsidR="00DE1C12">
        <w:t>6</w:t>
      </w:r>
      <w:r w:rsidR="00783618">
        <w:t>3</w:t>
      </w:r>
      <w:r w:rsidRPr="00293943">
        <w:t xml:space="preserve"> million.</w:t>
      </w:r>
      <w:r w:rsidR="00FF0574">
        <w:t xml:space="preserve">  </w:t>
      </w:r>
    </w:p>
    <w:p w:rsidR="00014E0A" w:rsidRPr="00403649" w:rsidRDefault="009978AA" w:rsidP="00C4593C">
      <w:pPr>
        <w:spacing w:before="240"/>
      </w:pPr>
      <w:r w:rsidRPr="00403649">
        <w:rPr>
          <w:u w:val="single"/>
        </w:rPr>
        <w:t>Repairs and Improvements (</w:t>
      </w:r>
      <w:r w:rsidR="00866F8C">
        <w:rPr>
          <w:u w:val="single"/>
        </w:rPr>
        <w:t>+$</w:t>
      </w:r>
      <w:r w:rsidR="004847C1">
        <w:rPr>
          <w:u w:val="single"/>
        </w:rPr>
        <w:t>82</w:t>
      </w:r>
      <w:r w:rsidR="00E425F8">
        <w:rPr>
          <w:u w:val="single"/>
        </w:rPr>
        <w:t>.</w:t>
      </w:r>
      <w:r w:rsidR="004847C1">
        <w:rPr>
          <w:u w:val="single"/>
        </w:rPr>
        <w:t>2</w:t>
      </w:r>
      <w:r w:rsidR="00BB49CC">
        <w:rPr>
          <w:u w:val="single"/>
        </w:rPr>
        <w:t>6</w:t>
      </w:r>
      <w:r w:rsidR="004847C1">
        <w:rPr>
          <w:u w:val="single"/>
        </w:rPr>
        <w:t>7</w:t>
      </w:r>
      <w:r w:rsidR="00866F8C">
        <w:rPr>
          <w:u w:val="single"/>
        </w:rPr>
        <w:t xml:space="preserve"> million; total </w:t>
      </w:r>
      <w:r w:rsidRPr="00403649">
        <w:rPr>
          <w:u w:val="single"/>
        </w:rPr>
        <w:t>$</w:t>
      </w:r>
      <w:r w:rsidR="00C70EC7">
        <w:rPr>
          <w:u w:val="single"/>
        </w:rPr>
        <w:t>1</w:t>
      </w:r>
      <w:r w:rsidR="004847C1">
        <w:rPr>
          <w:u w:val="single"/>
        </w:rPr>
        <w:t>2</w:t>
      </w:r>
      <w:r w:rsidR="00BB49CC">
        <w:rPr>
          <w:u w:val="single"/>
        </w:rPr>
        <w:t>5</w:t>
      </w:r>
      <w:r w:rsidR="004847C1">
        <w:rPr>
          <w:u w:val="single"/>
        </w:rPr>
        <w:t>.</w:t>
      </w:r>
      <w:r w:rsidR="00BB49CC">
        <w:rPr>
          <w:u w:val="single"/>
        </w:rPr>
        <w:t>663</w:t>
      </w:r>
      <w:r w:rsidRPr="00403649">
        <w:rPr>
          <w:u w:val="single"/>
        </w:rPr>
        <w:t xml:space="preserve"> million):</w:t>
      </w:r>
    </w:p>
    <w:p w:rsidR="009978AA" w:rsidRPr="008407AB" w:rsidRDefault="009978AA" w:rsidP="009978AA">
      <w:r w:rsidRPr="00293943">
        <w:t>The NIH-wide Repairs and Improvements (R&amp;I) program goal is to sustain efficient and effective facility performance throughout</w:t>
      </w:r>
      <w:r w:rsidR="00866480">
        <w:t xml:space="preserve"> the life cycle of facilities.  </w:t>
      </w:r>
      <w:r w:rsidRPr="00293943">
        <w:t>NIH develops annual program investment levels to help ensure the full service life of its facilities and components</w:t>
      </w:r>
      <w:r w:rsidR="00934C25" w:rsidRPr="00293943">
        <w:t>.</w:t>
      </w:r>
      <w:r w:rsidR="00934C25">
        <w:t xml:space="preserve"> </w:t>
      </w:r>
      <w:r w:rsidR="00934C25" w:rsidRPr="00293943">
        <w:t xml:space="preserve"> </w:t>
      </w:r>
      <w:r w:rsidRPr="00293943">
        <w:t>This requested funding level supports NIH’s efforts to maintain research requirements.</w:t>
      </w:r>
    </w:p>
    <w:p w:rsidR="004D2D24" w:rsidRDefault="004D2D24">
      <w:pPr>
        <w:widowControl/>
        <w:autoSpaceDE/>
        <w:autoSpaceDN/>
        <w:adjustRightInd/>
        <w:rPr>
          <w:highlight w:val="yellow"/>
        </w:rPr>
        <w:sectPr w:rsidR="004D2D24" w:rsidSect="0086616B">
          <w:pgSz w:w="12240" w:h="15840" w:code="1"/>
          <w:pgMar w:top="1440" w:right="1440" w:bottom="1440" w:left="1440" w:header="1440" w:footer="864" w:gutter="0"/>
          <w:cols w:space="720"/>
          <w:noEndnote/>
          <w:docGrid w:linePitch="326"/>
        </w:sectPr>
      </w:pPr>
    </w:p>
    <w:p w:rsidR="0086616B" w:rsidRDefault="00C6137D" w:rsidP="004A30B2">
      <w:pPr>
        <w:widowControl/>
        <w:autoSpaceDE/>
        <w:autoSpaceDN/>
        <w:adjustRightInd/>
      </w:pPr>
      <w:r>
        <w:rPr>
          <w:noProof/>
        </w:rPr>
        <w:object w:dxaOrig="1440" w:dyaOrig="1440" w14:anchorId="0EE71EE0">
          <v:shape id="_x0000_s1026" type="#_x0000_t75" alt="This Table shows the Summary of changes from last years enacted money to this years Presidential budget.  in 2016, $2,000 was listed for decomissioning, $43,396 was listed for repairs and improvements.  The left 2016 with $45,396 in total increases.  For 2017, there is $3,200 listed for decommissioning and $125,663 listed for repairs and improvements, for a total difference from 2016 to 2017 of $83,467.  There were also differing decreases in the budget from 2016 to 2017.  For 2016, there is $62,100 for the Clinical Center E wing, $17,500 for the Global Neglected and Infectious Diseases (Building 29B), $1,540 for Replacement Refrigerant Chiller, $1,077 for the Emergency Power Generation for Chilled water, and $1,250 for the Fire Alarm Upgrade for the CLinical Center Complex." style="position:absolute;margin-left:0;margin-top:0;width:475.2pt;height:243.45pt;z-index:251659264;mso-position-horizontal:center;mso-position-horizontal-relative:text;mso-position-vertical:absolute;mso-position-vertical-relative:text">
            <v:imagedata r:id="rId16" o:title=""/>
            <w10:wrap type="square"/>
          </v:shape>
          <o:OLEObject Type="Embed" ProgID="Excel.Sheet.12" ShapeID="_x0000_s1026" DrawAspect="Content" ObjectID="_1517748313" r:id="rId17"/>
        </w:object>
      </w:r>
    </w:p>
    <w:p w:rsidR="0086616B" w:rsidRDefault="0086616B">
      <w:pPr>
        <w:widowControl/>
        <w:autoSpaceDE/>
        <w:autoSpaceDN/>
        <w:adjustRightInd/>
      </w:pPr>
    </w:p>
    <w:p w:rsidR="0086616B" w:rsidRDefault="0086616B">
      <w:pPr>
        <w:widowControl/>
        <w:autoSpaceDE/>
        <w:autoSpaceDN/>
        <w:adjustRightInd/>
        <w:sectPr w:rsidR="0086616B" w:rsidSect="00866480">
          <w:pgSz w:w="12240" w:h="15840" w:code="1"/>
          <w:pgMar w:top="1440" w:right="1440" w:bottom="1440" w:left="1440" w:header="1440" w:footer="864" w:gutter="0"/>
          <w:cols w:space="720"/>
          <w:noEndnote/>
          <w:docGrid w:linePitch="326"/>
        </w:sectPr>
      </w:pPr>
    </w:p>
    <w:p w:rsidR="006F6EBD" w:rsidRPr="00C4593C" w:rsidRDefault="006F6EBD" w:rsidP="006F6EBD">
      <w:pPr>
        <w:tabs>
          <w:tab w:val="left" w:pos="-1080"/>
          <w:tab w:val="left" w:pos="-720"/>
          <w:tab w:val="left" w:pos="0"/>
          <w:tab w:val="left" w:pos="450"/>
          <w:tab w:val="left" w:pos="810"/>
          <w:tab w:val="left" w:pos="1170"/>
          <w:tab w:val="left" w:pos="2880"/>
          <w:tab w:val="left" w:pos="3600"/>
          <w:tab w:val="left" w:pos="4320"/>
          <w:tab w:val="left" w:pos="5040"/>
          <w:tab w:val="left" w:pos="5760"/>
          <w:tab w:val="left" w:pos="6480"/>
          <w:tab w:val="left" w:pos="7200"/>
          <w:tab w:val="left" w:pos="7920"/>
          <w:tab w:val="left" w:pos="8640"/>
          <w:tab w:val="left" w:pos="9360"/>
          <w:tab w:val="left" w:pos="10080"/>
        </w:tabs>
        <w:jc w:val="center"/>
      </w:pPr>
      <w:r w:rsidRPr="00C4593C">
        <w:t>NATIONAL INSTITUTES OF HEALTH</w:t>
      </w:r>
    </w:p>
    <w:p w:rsidR="006F6EBD" w:rsidRPr="00934C25" w:rsidRDefault="006F6EBD" w:rsidP="00C27B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pPr>
      <w:r w:rsidRPr="00C4593C">
        <w:t>Buildings and Facilities</w:t>
      </w:r>
    </w:p>
    <w:p w:rsidR="006F6EBD" w:rsidRDefault="006F6EBD" w:rsidP="006F6EBD">
      <w:pPr>
        <w:widowControl/>
        <w:autoSpaceDE/>
        <w:autoSpaceDN/>
        <w:adjustRightInd/>
        <w:jc w:val="center"/>
      </w:pPr>
    </w:p>
    <w:p w:rsidR="0086616B" w:rsidRDefault="009119AD" w:rsidP="006F6EBD">
      <w:pPr>
        <w:widowControl/>
        <w:autoSpaceDE/>
        <w:autoSpaceDN/>
        <w:adjustRightInd/>
        <w:jc w:val="center"/>
      </w:pPr>
      <w:r>
        <w:rPr>
          <w:noProof/>
        </w:rPr>
        <w:drawing>
          <wp:inline distT="0" distB="0" distL="0" distR="0" wp14:anchorId="75AFDC94" wp14:editId="3BCE5729">
            <wp:extent cx="5943600" cy="3412490"/>
            <wp:effectExtent l="0" t="0" r="0" b="0"/>
            <wp:docPr id="2" name="Chart 2" descr="This table shows the funding levels for NIH Buildings and Facilities by Fiscal Year.  In 2013, the funding level was $118.1 Million Dollars.  In 2014, the funding level was $128.7 Million Dollars.  In 2015, the funding level was $128.9 million dollars. In 2016, the funding level will remain $128.9 million dollars, and will also remain the same in 2017." title="FUnding Levels by FIsca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6EBD" w:rsidRPr="00D0692A" w:rsidRDefault="006F6EBD" w:rsidP="00D0692A">
      <w:pPr>
        <w:sectPr w:rsidR="006F6EBD" w:rsidRPr="00D0692A" w:rsidSect="00E15895">
          <w:pgSz w:w="12240" w:h="15840" w:code="1"/>
          <w:pgMar w:top="1440" w:right="1440" w:bottom="1440" w:left="1440" w:header="1440" w:footer="864" w:gutter="0"/>
          <w:cols w:space="720"/>
          <w:noEndnote/>
          <w:docGrid w:linePitch="326"/>
        </w:sectPr>
      </w:pPr>
    </w:p>
    <w:p w:rsidR="000C279A" w:rsidRDefault="00C6137D">
      <w:pPr>
        <w:widowControl/>
        <w:autoSpaceDE/>
        <w:autoSpaceDN/>
        <w:adjustRightInd/>
        <w:rPr>
          <w:noProof/>
          <w:color w:val="FF0000"/>
        </w:rPr>
      </w:pPr>
      <w:r>
        <w:rPr>
          <w:noProof/>
        </w:rPr>
        <w:object w:dxaOrig="1440" w:dyaOrig="1440" w14:anchorId="1F38025E">
          <v:shape id="_x0000_s1028" type="#_x0000_t75" alt="The Image shows the Budget Authority by Activity for FY205, 2016, and 2017.  In the enacted budget for 2016, $62,100 was used for the Clinical Center E Wing Decommissioning.  $1,077 was used for Emergency Power Generation for chilled water.  $1540 was used to replace the Refrigerant chiller. $17,500 was used for the Global Neglected and Infectious Diseases (Building 29B).  $2,000 was used for general decommissioning.  Altogether, $43,396 was used in 2016 for repairs and improvements.  The total Budget Authority was $128,863, the unobligated balance at the start of the year was $45,758, and the total obligations for 2016 is $174,621." style="position:absolute;margin-left:0;margin-top:.7pt;width:499.7pt;height:314.1pt;z-index:251663360;mso-position-horizontal:center;mso-position-horizontal-relative:text;mso-position-vertical:absolute;mso-position-vertical-relative:text">
            <v:imagedata r:id="rId19" o:title=""/>
            <w10:wrap type="square"/>
          </v:shape>
          <o:OLEObject Type="Embed" ProgID="Excel.Sheet.12" ShapeID="_x0000_s1028" DrawAspect="Content" ObjectID="_1517748314" r:id="rId20"/>
        </w:object>
      </w:r>
    </w:p>
    <w:p w:rsidR="000C279A" w:rsidRDefault="000C279A">
      <w:pPr>
        <w:widowControl/>
        <w:autoSpaceDE/>
        <w:autoSpaceDN/>
        <w:adjustRightInd/>
        <w:rPr>
          <w:noProof/>
          <w:color w:val="FF0000"/>
        </w:rPr>
      </w:pPr>
      <w:r>
        <w:rPr>
          <w:noProof/>
          <w:color w:val="FF0000"/>
        </w:rPr>
        <w:br w:type="page"/>
      </w:r>
    </w:p>
    <w:p w:rsidR="00B00629" w:rsidRDefault="00B00629">
      <w:pPr>
        <w:widowControl/>
        <w:autoSpaceDE/>
        <w:autoSpaceDN/>
        <w:adjustRightInd/>
        <w:rPr>
          <w:color w:val="FF0000"/>
          <w:highlight w:val="yellow"/>
        </w:rPr>
      </w:pPr>
    </w:p>
    <w:p w:rsidR="00C96D9A" w:rsidRDefault="004847C1" w:rsidP="00C4593C">
      <w:pPr>
        <w:widowControl/>
        <w:autoSpaceDE/>
        <w:autoSpaceDN/>
        <w:adjustRightInd/>
        <w:rPr>
          <w:highlight w:val="yellow"/>
        </w:rPr>
      </w:pPr>
      <w:r w:rsidRPr="004847C1">
        <w:rPr>
          <w:noProof/>
        </w:rPr>
        <w:drawing>
          <wp:inline distT="0" distB="0" distL="0" distR="0" wp14:anchorId="662A1E62" wp14:editId="05CBB7EC">
            <wp:extent cx="5943600" cy="2285541"/>
            <wp:effectExtent l="0" t="0" r="0" b="0"/>
            <wp:docPr id="11" name="Picture 11" descr="This Image is showing the Authorizing Legislation for 2016 and 2017.  In 2016, the amount authorized was $128,863,000.  That amount is also the amount authorized for Fiscal year 2017." title="NIH Buildings and Facilities Authorized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85541"/>
                    </a:xfrm>
                    <a:prstGeom prst="rect">
                      <a:avLst/>
                    </a:prstGeom>
                    <a:noFill/>
                    <a:ln>
                      <a:noFill/>
                    </a:ln>
                  </pic:spPr>
                </pic:pic>
              </a:graphicData>
            </a:graphic>
          </wp:inline>
        </w:drawing>
      </w:r>
    </w:p>
    <w:p w:rsidR="00DE106F" w:rsidRDefault="00DE106F">
      <w:pPr>
        <w:widowControl/>
        <w:autoSpaceDE/>
        <w:autoSpaceDN/>
        <w:adjustRightInd/>
        <w:rPr>
          <w:highlight w:val="yellow"/>
        </w:rPr>
        <w:sectPr w:rsidR="00DE106F" w:rsidSect="00E15895">
          <w:headerReference w:type="default" r:id="rId22"/>
          <w:pgSz w:w="12240" w:h="15840" w:code="1"/>
          <w:pgMar w:top="1440" w:right="1440" w:bottom="1440" w:left="1440" w:header="1440" w:footer="864" w:gutter="0"/>
          <w:cols w:space="720"/>
          <w:noEndnote/>
          <w:docGrid w:linePitch="326"/>
        </w:sectPr>
      </w:pPr>
    </w:p>
    <w:p w:rsidR="00BB248C" w:rsidRDefault="00AF68E3">
      <w:pPr>
        <w:widowControl/>
        <w:autoSpaceDE/>
        <w:autoSpaceDN/>
        <w:adjustRightInd/>
        <w:rPr>
          <w:highlight w:val="yellow"/>
        </w:rPr>
        <w:sectPr w:rsidR="00BB248C" w:rsidSect="00E15895">
          <w:pgSz w:w="12240" w:h="15840" w:code="1"/>
          <w:pgMar w:top="1440" w:right="1440" w:bottom="1440" w:left="1440" w:header="1440" w:footer="864" w:gutter="0"/>
          <w:cols w:space="720"/>
          <w:noEndnote/>
          <w:docGrid w:linePitch="326"/>
        </w:sectPr>
      </w:pPr>
      <w:r w:rsidRPr="00AF68E3">
        <w:rPr>
          <w:noProof/>
        </w:rPr>
        <w:drawing>
          <wp:inline distT="0" distB="0" distL="0" distR="0" wp14:anchorId="228CB89F" wp14:editId="526A6B15">
            <wp:extent cx="5943600" cy="7030221"/>
            <wp:effectExtent l="0" t="0" r="0" b="0"/>
            <wp:docPr id="4" name="Picture 4" descr="The Table shows the Appropriations History of NIH BUildings and Facilities from 2007 to 2017.  In 2007, $81,081 was the budget estimate to Congress, the House Allowance, the Senate Allowance, and the apprpropriation given.  In 2008, $136,000 was the Budget Estimate to Congress, the house allowance was $121,081,000.  The senate allowance was $128,081,000 and the appropriation was $121,081,000/ In 2009, the Budget Estimate to COngress was $125,581,000.  The house allowance was $125,581,000. The senate allowance was $146,581,000 and the appropriation was $125,581,000.  In 2010, The Budget Estimate was $125,581,000.  The House Allowance was $125,581,000.  The Senate Allowance was $100,000,000, and the appropriation ws $100,000,000.  In2011, the Budget estimate was $125,581,000.  There was no House allowance.  The Senate allowance was $125,581,000, and the Appropriation for 2011 was $50,000,000.  In 2012, the budget estimate to Congress was $125,581,000.  The House Allowance wasn't listed.  The Senate allowance was $125,581,000 and the appropriation was $125,581,000.  In 2013, the Budget Estimate to COngress was $125,308,000, the Senate allowance was $125,308,000, and the appropriation was $125,343,652.  In 2014, the Budget to COngress was $126,111,000, the senate allowance was $125,308,000 and the appropriation was $128,663,000.  in 2015, The Budget Estimate to Congress was $128,663,000.  The Senate allowance was $128,863,000 and the Appropriation was $128,863,000.  In 2016, The Budget estimate to Congress was $128,863,000.  the House allowance is $132,640,000.  The Senate Allowance is $128,863,000 and the Appropriation is $128,863,000.  In 2017, the Budget Estimate to Congress will be $128,863,000." title="NIH Buildings and Facilities Appropriation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030221"/>
                    </a:xfrm>
                    <a:prstGeom prst="rect">
                      <a:avLst/>
                    </a:prstGeom>
                    <a:noFill/>
                    <a:ln>
                      <a:noFill/>
                    </a:ln>
                  </pic:spPr>
                </pic:pic>
              </a:graphicData>
            </a:graphic>
          </wp:inline>
        </w:drawing>
      </w:r>
    </w:p>
    <w:p w:rsidR="00F15D07" w:rsidRPr="00E51CE0" w:rsidRDefault="00F15D07" w:rsidP="00C459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jc w:val="center"/>
        <w:outlineLvl w:val="0"/>
        <w:rPr>
          <w:b/>
        </w:rPr>
      </w:pPr>
      <w:r w:rsidRPr="00E51CE0">
        <w:rPr>
          <w:b/>
        </w:rPr>
        <w:t>Justification of Budget Request</w:t>
      </w:r>
    </w:p>
    <w:p w:rsidR="001E06B2" w:rsidRPr="00C4593C" w:rsidRDefault="00814FE9" w:rsidP="00C4593C">
      <w:pPr>
        <w:widowControl/>
        <w:autoSpaceDE/>
        <w:autoSpaceDN/>
        <w:adjustRightInd/>
        <w:spacing w:line="480" w:lineRule="auto"/>
        <w:jc w:val="center"/>
        <w:rPr>
          <w:b/>
          <w:i/>
        </w:rPr>
      </w:pPr>
      <w:r w:rsidRPr="00C4593C">
        <w:rPr>
          <w:b/>
          <w:i/>
        </w:rPr>
        <w:t>Buildings and Facilities</w:t>
      </w:r>
    </w:p>
    <w:p w:rsidR="000A3E73" w:rsidRPr="00AF09C3" w:rsidRDefault="000A3E73" w:rsidP="00C4593C">
      <w:pPr>
        <w:pStyle w:val="Header"/>
        <w:tabs>
          <w:tab w:val="left" w:pos="-1080"/>
          <w:tab w:val="left" w:pos="-720"/>
          <w:tab w:val="left" w:pos="0"/>
          <w:tab w:val="left" w:pos="360"/>
          <w:tab w:val="left" w:pos="720"/>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pPr>
      <w:r w:rsidRPr="00AF09C3">
        <w:t>Authorizing Legislation: Section 301 and title IV of the Public Health Services Act, as amended.</w:t>
      </w:r>
    </w:p>
    <w:p w:rsidR="00C42ADF" w:rsidRDefault="000A3E73" w:rsidP="00C42ADF">
      <w:pPr>
        <w:spacing w:line="480" w:lineRule="auto"/>
      </w:pPr>
      <w:r w:rsidRPr="00AF09C3">
        <w:t>Budget Authority:</w:t>
      </w:r>
    </w:p>
    <w:p w:rsidR="00C42ADF" w:rsidRDefault="00F35069" w:rsidP="0075436E">
      <w:pPr>
        <w:jc w:val="center"/>
      </w:pPr>
      <w:r w:rsidRPr="00F35069">
        <w:rPr>
          <w:noProof/>
        </w:rPr>
        <w:drawing>
          <wp:inline distT="0" distB="0" distL="0" distR="0" wp14:anchorId="325055EB" wp14:editId="6BA4CBE4">
            <wp:extent cx="5943600" cy="1289202"/>
            <wp:effectExtent l="0" t="0" r="0" b="6350"/>
            <wp:docPr id="3" name="Picture 3" descr="The Table shows Budget Authority and total obligations for FY2015, FY2016, the FY2017 Presidents Budget, and the difference from 2017 and 2016.  In 2015, The Budget Authority was $128,863,000 and the total obligations was $163,381,000.  In FY2016, the Budget Authority was $128,863,000 and the Total Obligations was $174,621,000.  The FY2017 Presidents Budget has $128,863,000 listed for Budget Authority and $128,863,000 listed for total obligations.  The total obligations difference from 2016 to 2017 is -$45,758,000." title="Justification of Budget Request for FY2015 throug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89202"/>
                    </a:xfrm>
                    <a:prstGeom prst="rect">
                      <a:avLst/>
                    </a:prstGeom>
                    <a:noFill/>
                    <a:ln>
                      <a:noFill/>
                    </a:ln>
                  </pic:spPr>
                </pic:pic>
              </a:graphicData>
            </a:graphic>
          </wp:inline>
        </w:drawing>
      </w:r>
    </w:p>
    <w:p w:rsidR="00C42ADF" w:rsidRDefault="00C42ADF" w:rsidP="0075436E">
      <w:pPr>
        <w:jc w:val="center"/>
      </w:pPr>
    </w:p>
    <w:p w:rsidR="00C42ADF" w:rsidRDefault="00C42ADF" w:rsidP="0075436E">
      <w:pPr>
        <w:jc w:val="center"/>
      </w:pPr>
    </w:p>
    <w:p w:rsidR="00C70EC7" w:rsidRPr="00523697" w:rsidRDefault="00C70EC7" w:rsidP="00C70EC7">
      <w:pPr>
        <w:jc w:val="center"/>
        <w:rPr>
          <w:u w:val="single"/>
        </w:rPr>
      </w:pPr>
      <w:r w:rsidRPr="00523697">
        <w:rPr>
          <w:b/>
        </w:rPr>
        <w:t>Director’s Overview</w:t>
      </w:r>
    </w:p>
    <w:p w:rsidR="00C70EC7" w:rsidRDefault="00C70EC7" w:rsidP="00C70EC7">
      <w:pPr>
        <w:spacing w:before="240"/>
      </w:pPr>
      <w:r>
        <w:t xml:space="preserve">America’s continuing leadership in conducting biomedical </w:t>
      </w:r>
      <w:r w:rsidRPr="00523697">
        <w:t xml:space="preserve">research requires </w:t>
      </w:r>
      <w:r>
        <w:t xml:space="preserve">infrastructure and </w:t>
      </w:r>
      <w:r w:rsidRPr="00523697">
        <w:t>facilities that are safe</w:t>
      </w:r>
      <w:r>
        <w:t>,</w:t>
      </w:r>
      <w:r w:rsidRPr="00523697">
        <w:t xml:space="preserve"> in compliance with all laws and regulations</w:t>
      </w:r>
      <w:r>
        <w:t xml:space="preserve">, and conducive to cutting edge research and research support.  </w:t>
      </w:r>
      <w:r w:rsidRPr="00523697">
        <w:t xml:space="preserve">The functions of these buildings </w:t>
      </w:r>
      <w:r>
        <w:t>includes the Clinical Research Center (which includes 240 inpatient beds and 82 day-hospital stations); biosafety level 3 and 4 high conta</w:t>
      </w:r>
      <w:r w:rsidR="00760D4B">
        <w:t>inment facilities; the largest G</w:t>
      </w:r>
      <w:r>
        <w:t xml:space="preserve">overnment-owned utility generation and distribution system; biomedical research laboratories; animal holding facilities, and buildings housing research support activities.  </w:t>
      </w:r>
      <w:r w:rsidRPr="00523697">
        <w:t>The NIH strives to balance new facilities needed to support the study of emerging health threats and leverage innovative research opportunities with the need to remain responsible stewards of the</w:t>
      </w:r>
      <w:r w:rsidR="008407AB">
        <w:t xml:space="preserve"> existing research facilities.</w:t>
      </w:r>
    </w:p>
    <w:p w:rsidR="00DF23C6" w:rsidRDefault="004847C1" w:rsidP="008407AB">
      <w:pPr>
        <w:spacing w:before="240"/>
        <w:rPr>
          <w:color w:val="1F497D"/>
        </w:rPr>
      </w:pPr>
      <w:r>
        <w:t xml:space="preserve">A </w:t>
      </w:r>
      <w:r w:rsidR="00C70EC7">
        <w:t xml:space="preserve">major component of the </w:t>
      </w:r>
      <w:r w:rsidR="00C70EC7" w:rsidRPr="00B846FE">
        <w:t xml:space="preserve">Buildings &amp; Facilities (B&amp;F) appropriation </w:t>
      </w:r>
      <w:r w:rsidR="00C70EC7">
        <w:t xml:space="preserve">is the </w:t>
      </w:r>
      <w:r w:rsidR="00C70EC7" w:rsidRPr="00B846FE">
        <w:t xml:space="preserve">Repair &amp; Improvement (R&amp;I) program, </w:t>
      </w:r>
      <w:r w:rsidR="00C70EC7">
        <w:t xml:space="preserve">which enables NIH to </w:t>
      </w:r>
      <w:r w:rsidR="00C70EC7" w:rsidRPr="00B846FE">
        <w:t>maintain and improve the performance of existing facilities throughout their life cycle.</w:t>
      </w:r>
      <w:r w:rsidR="00C70EC7">
        <w:t xml:space="preserve">  </w:t>
      </w:r>
      <w:r w:rsidR="00C70EC7" w:rsidRPr="00B846FE">
        <w:t>As responsible stewards</w:t>
      </w:r>
      <w:r w:rsidR="00C70EC7">
        <w:t xml:space="preserve"> of its 282 existing buildings</w:t>
      </w:r>
      <w:r w:rsidR="00C70EC7" w:rsidRPr="00B846FE">
        <w:t xml:space="preserve">, </w:t>
      </w:r>
      <w:r w:rsidR="00C70EC7">
        <w:t>a key aspect</w:t>
      </w:r>
      <w:r w:rsidR="00C70EC7" w:rsidRPr="00B846FE">
        <w:t xml:space="preserve"> of NIH’s strategy is to sustain the condition of existing facilities to prevent deterioration and the curtailment of research, while raising the average Condition Index (CI), which is a function of the ratio of the cost of needed repairs to the replacement value at a specific </w:t>
      </w:r>
      <w:r w:rsidR="00C70EC7">
        <w:t>point in time, to 90 or greater.</w:t>
      </w:r>
      <w:r w:rsidR="008407AB">
        <w:rPr>
          <w:color w:val="1F497D"/>
        </w:rPr>
        <w:t xml:space="preserve"> </w:t>
      </w:r>
    </w:p>
    <w:p w:rsidR="00E96638" w:rsidRDefault="003A426E" w:rsidP="006A4CFD">
      <w:pPr>
        <w:spacing w:before="240"/>
      </w:pPr>
      <w:r w:rsidRPr="008F79E1">
        <w:rPr>
          <w:highlight w:val="yellow"/>
        </w:rPr>
        <w:br w:type="page"/>
      </w:r>
      <w:r w:rsidR="00E96638" w:rsidRPr="00E96638">
        <w:t>Table 1 is a summary of</w:t>
      </w:r>
      <w:r w:rsidR="00E96638">
        <w:t xml:space="preserve"> the funding for </w:t>
      </w:r>
      <w:r w:rsidR="00C42ADF">
        <w:t>B&amp;F from FY 200</w:t>
      </w:r>
      <w:r w:rsidR="00EF4599">
        <w:t>7</w:t>
      </w:r>
      <w:r w:rsidR="00C42ADF">
        <w:t xml:space="preserve"> through FY 2017</w:t>
      </w:r>
    </w:p>
    <w:p w:rsidR="00B70842" w:rsidRDefault="00B70842" w:rsidP="00DE6172"/>
    <w:p w:rsidR="00B70842" w:rsidRDefault="00B70842" w:rsidP="00DE6172">
      <w:pPr>
        <w:sectPr w:rsidR="00B70842" w:rsidSect="0086616B">
          <w:pgSz w:w="12240" w:h="15840" w:code="1"/>
          <w:pgMar w:top="1440" w:right="1440" w:bottom="1440" w:left="1440" w:header="1440" w:footer="864" w:gutter="0"/>
          <w:cols w:space="720"/>
          <w:noEndnote/>
          <w:docGrid w:linePitch="326"/>
        </w:sectPr>
      </w:pPr>
    </w:p>
    <w:p w:rsidR="00E96638" w:rsidRPr="00E96638" w:rsidRDefault="00760D4B" w:rsidP="00DE6172">
      <w:r w:rsidRPr="00760D4B">
        <w:rPr>
          <w:noProof/>
        </w:rPr>
        <w:drawing>
          <wp:inline distT="0" distB="0" distL="0" distR="0" wp14:anchorId="50232A63" wp14:editId="32999CAD">
            <wp:extent cx="5943600" cy="2888748"/>
            <wp:effectExtent l="0" t="0" r="0" b="6985"/>
            <wp:docPr id="14" name="Picture 14" descr="This Table shows the summary of B&amp;F FUnding for every year from FY 2005 through FY2017.  In 2016, there is $85,467,000 for Construction, $43,396,000 for Repairs and Improvements, totaling $128,863,000.  In 2017, the budget listed is $3,200,000 for Construction, $125,663,000 for Repairs and Improvements, totaling $128,863,000/" title="Summary of B&amp;F FUnding by Program Activity FY 2005 through F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88748"/>
                    </a:xfrm>
                    <a:prstGeom prst="rect">
                      <a:avLst/>
                    </a:prstGeom>
                    <a:noFill/>
                    <a:ln>
                      <a:noFill/>
                    </a:ln>
                  </pic:spPr>
                </pic:pic>
              </a:graphicData>
            </a:graphic>
          </wp:inline>
        </w:drawing>
      </w:r>
    </w:p>
    <w:p w:rsidR="00E96638" w:rsidRDefault="00E96638" w:rsidP="00DE6172">
      <w:pPr>
        <w:rPr>
          <w:u w:val="single"/>
        </w:rPr>
      </w:pPr>
    </w:p>
    <w:p w:rsidR="00014E0A" w:rsidRPr="00A818F0" w:rsidRDefault="0064474D" w:rsidP="00DE6172">
      <w:r w:rsidRPr="00A818F0">
        <w:rPr>
          <w:u w:val="single"/>
        </w:rPr>
        <w:t>Overall Budget Policy:</w:t>
      </w:r>
    </w:p>
    <w:p w:rsidR="00DE6172" w:rsidRPr="00A818F0" w:rsidRDefault="00A818F0" w:rsidP="00DE6172">
      <w:r w:rsidRPr="00A818F0">
        <w:t>The FY 201</w:t>
      </w:r>
      <w:r w:rsidR="00AB3144">
        <w:t>7</w:t>
      </w:r>
      <w:r w:rsidR="00DE6172" w:rsidRPr="00A818F0">
        <w:t xml:space="preserve"> Presid</w:t>
      </w:r>
      <w:r w:rsidR="00007134">
        <w:t>ent’s Budget request is $</w:t>
      </w:r>
      <w:r w:rsidR="00204817">
        <w:t>1</w:t>
      </w:r>
      <w:r w:rsidR="00E425F8">
        <w:t>28.863</w:t>
      </w:r>
      <w:r w:rsidR="00DE6172" w:rsidRPr="00A818F0">
        <w:t xml:space="preserve"> million, which </w:t>
      </w:r>
      <w:r w:rsidR="005401D5" w:rsidRPr="00A818F0">
        <w:t xml:space="preserve">is </w:t>
      </w:r>
      <w:r w:rsidR="00204817">
        <w:t xml:space="preserve">flat with the </w:t>
      </w:r>
      <w:r w:rsidR="005401D5" w:rsidRPr="00A818F0">
        <w:t>FY 201</w:t>
      </w:r>
      <w:r w:rsidR="00AB3144">
        <w:t>6</w:t>
      </w:r>
      <w:r w:rsidR="001A03D5" w:rsidRPr="00A818F0">
        <w:t xml:space="preserve"> Enacted </w:t>
      </w:r>
      <w:r w:rsidR="00DE6172" w:rsidRPr="00A818F0">
        <w:t xml:space="preserve">level.  This request provides funds for </w:t>
      </w:r>
      <w:r w:rsidR="00D67F54">
        <w:t>r</w:t>
      </w:r>
      <w:r w:rsidR="00DE6172" w:rsidRPr="00A818F0">
        <w:t xml:space="preserve">epairs and </w:t>
      </w:r>
      <w:r w:rsidR="00D67F54">
        <w:t>i</w:t>
      </w:r>
      <w:r w:rsidR="00DE6172" w:rsidRPr="00A818F0">
        <w:t>mprovements</w:t>
      </w:r>
      <w:r w:rsidR="00D67F54">
        <w:t xml:space="preserve"> to existing facilities</w:t>
      </w:r>
      <w:r w:rsidR="00AD5957">
        <w:t xml:space="preserve"> and funding for d</w:t>
      </w:r>
      <w:r w:rsidR="006A4CFD">
        <w:t>ecommissioning activities</w:t>
      </w:r>
      <w:r w:rsidR="00AD5957">
        <w:t xml:space="preserve"> under the Construction Program</w:t>
      </w:r>
      <w:r w:rsidR="00DE6172" w:rsidRPr="00A818F0">
        <w:t xml:space="preserve">. </w:t>
      </w:r>
    </w:p>
    <w:p w:rsidR="00707F63" w:rsidRDefault="00707F63" w:rsidP="00DE6172">
      <w:pPr>
        <w:rPr>
          <w:highlight w:val="yellow"/>
        </w:rPr>
        <w:sectPr w:rsidR="00707F63" w:rsidSect="00B70842">
          <w:type w:val="continuous"/>
          <w:pgSz w:w="12240" w:h="15840" w:code="1"/>
          <w:pgMar w:top="1440" w:right="1440" w:bottom="1440" w:left="1440" w:header="1440" w:footer="864" w:gutter="0"/>
          <w:cols w:space="720"/>
          <w:noEndnote/>
          <w:docGrid w:linePitch="326"/>
        </w:sectPr>
      </w:pPr>
    </w:p>
    <w:p w:rsidR="001A03D5" w:rsidRPr="008F79E1" w:rsidRDefault="001A03D5" w:rsidP="00DE6172">
      <w:pPr>
        <w:rPr>
          <w:highlight w:val="yellow"/>
        </w:rPr>
      </w:pPr>
    </w:p>
    <w:p w:rsidR="00707F63" w:rsidRDefault="00760D4B" w:rsidP="006F6F7B">
      <w:pPr>
        <w:ind w:left="810" w:hanging="90"/>
        <w:sectPr w:rsidR="00707F63" w:rsidSect="00707F63">
          <w:type w:val="continuous"/>
          <w:pgSz w:w="12240" w:h="15840" w:code="1"/>
          <w:pgMar w:top="720" w:right="720" w:bottom="720" w:left="720" w:header="1440" w:footer="864" w:gutter="0"/>
          <w:cols w:space="720"/>
          <w:noEndnote/>
          <w:docGrid w:linePitch="326"/>
        </w:sectPr>
      </w:pPr>
      <w:r w:rsidRPr="00760D4B">
        <w:rPr>
          <w:noProof/>
        </w:rPr>
        <w:drawing>
          <wp:inline distT="0" distB="0" distL="0" distR="0" wp14:anchorId="4533089F" wp14:editId="227DD501">
            <wp:extent cx="6238875" cy="977904"/>
            <wp:effectExtent l="0" t="0" r="0" b="0"/>
            <wp:docPr id="15" name="Picture 15" descr="This table summarizes the 2017 budget request.  $3,200,000 for COnstruction, $125,663,000 in Repairs and Improvements, The total for the summary request is $128,863,000." title="Summary of FY 2-17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8875" cy="977904"/>
                    </a:xfrm>
                    <a:prstGeom prst="rect">
                      <a:avLst/>
                    </a:prstGeom>
                    <a:noFill/>
                    <a:ln>
                      <a:noFill/>
                    </a:ln>
                  </pic:spPr>
                </pic:pic>
              </a:graphicData>
            </a:graphic>
          </wp:inline>
        </w:drawing>
      </w:r>
    </w:p>
    <w:p w:rsidR="00707F63" w:rsidRDefault="00707F63" w:rsidP="00DE6172">
      <w:pPr>
        <w:rPr>
          <w:highlight w:val="yellow"/>
        </w:rPr>
        <w:sectPr w:rsidR="00707F63" w:rsidSect="00B70842">
          <w:type w:val="continuous"/>
          <w:pgSz w:w="12240" w:h="15840" w:code="1"/>
          <w:pgMar w:top="1440" w:right="1440" w:bottom="1440" w:left="1440" w:header="1440" w:footer="864" w:gutter="0"/>
          <w:cols w:space="720"/>
          <w:noEndnote/>
          <w:docGrid w:linePitch="326"/>
        </w:sectPr>
      </w:pPr>
    </w:p>
    <w:p w:rsidR="00C70EC7" w:rsidRPr="00E34606" w:rsidRDefault="00C70EC7" w:rsidP="006F6F7B">
      <w:pPr>
        <w:jc w:val="center"/>
        <w:rPr>
          <w:u w:val="single"/>
        </w:rPr>
      </w:pPr>
      <w:r w:rsidRPr="00E34606">
        <w:rPr>
          <w:b/>
        </w:rPr>
        <w:t>Program Descriptions and Accomplishments</w:t>
      </w:r>
    </w:p>
    <w:p w:rsidR="006F6F7B" w:rsidRDefault="006F6F7B" w:rsidP="006F6F7B">
      <w:pPr>
        <w:tabs>
          <w:tab w:val="left" w:pos="-1080"/>
          <w:tab w:val="left" w:pos="-720"/>
        </w:tabs>
      </w:pPr>
    </w:p>
    <w:p w:rsidR="00C70EC7" w:rsidRDefault="00C70EC7" w:rsidP="006F6F7B">
      <w:pPr>
        <w:tabs>
          <w:tab w:val="left" w:pos="-1080"/>
          <w:tab w:val="left" w:pos="-720"/>
        </w:tabs>
      </w:pPr>
      <w:r w:rsidRPr="00E34606">
        <w:t>The B&amp;F FY 201</w:t>
      </w:r>
      <w:r>
        <w:t>7</w:t>
      </w:r>
      <w:r w:rsidRPr="00E34606">
        <w:t xml:space="preserve"> budget request </w:t>
      </w:r>
      <w:r>
        <w:t>supports the ongoing repairs and improvements to previous investments and any required c</w:t>
      </w:r>
      <w:r w:rsidRPr="0031012D">
        <w:t xml:space="preserve">oncept </w:t>
      </w:r>
      <w:r>
        <w:t>d</w:t>
      </w:r>
      <w:r w:rsidRPr="0031012D">
        <w:t xml:space="preserve">evelopment </w:t>
      </w:r>
      <w:r>
        <w:t>s</w:t>
      </w:r>
      <w:r w:rsidRPr="0031012D">
        <w:t>tudies</w:t>
      </w:r>
      <w:r w:rsidR="006A4CFD">
        <w:t xml:space="preserve">, </w:t>
      </w:r>
      <w:r>
        <w:t>e</w:t>
      </w:r>
      <w:r w:rsidRPr="0031012D">
        <w:t xml:space="preserve">ssential </w:t>
      </w:r>
      <w:r>
        <w:t>s</w:t>
      </w:r>
      <w:r w:rsidRPr="0031012D">
        <w:t xml:space="preserve">afety and </w:t>
      </w:r>
      <w:r>
        <w:t>r</w:t>
      </w:r>
      <w:r w:rsidRPr="0031012D">
        <w:t xml:space="preserve">egulatory </w:t>
      </w:r>
      <w:r>
        <w:t>c</w:t>
      </w:r>
      <w:r w:rsidRPr="0031012D">
        <w:t>ompl</w:t>
      </w:r>
      <w:r>
        <w:t>iance activities</w:t>
      </w:r>
      <w:r w:rsidR="006A4CFD">
        <w:t>, and decommissioning activities</w:t>
      </w:r>
      <w:r>
        <w:t xml:space="preserve"> in FY 2017</w:t>
      </w:r>
      <w:r w:rsidRPr="0031012D">
        <w:t xml:space="preserve">.  </w:t>
      </w:r>
      <w:r w:rsidRPr="00645628">
        <w:t>The following program</w:t>
      </w:r>
      <w:r w:rsidR="00D67F54">
        <w:t xml:space="preserve"> is</w:t>
      </w:r>
      <w:r w:rsidRPr="00645628">
        <w:t xml:space="preserve"> included in the B&amp;F tables and </w:t>
      </w:r>
      <w:r w:rsidR="00D67F54">
        <w:t>is</w:t>
      </w:r>
      <w:r w:rsidRPr="00645628">
        <w:t xml:space="preserve"> described below:</w:t>
      </w:r>
    </w:p>
    <w:p w:rsidR="006F6F7B" w:rsidRDefault="006F6F7B" w:rsidP="006F6F7B">
      <w:pPr>
        <w:tabs>
          <w:tab w:val="left" w:pos="-1080"/>
          <w:tab w:val="left" w:pos="-720"/>
        </w:tabs>
        <w:rPr>
          <w:b/>
        </w:rPr>
      </w:pPr>
    </w:p>
    <w:p w:rsidR="008407AB" w:rsidRDefault="00C70EC7" w:rsidP="006F6F7B">
      <w:pPr>
        <w:tabs>
          <w:tab w:val="left" w:pos="-1080"/>
          <w:tab w:val="left" w:pos="-720"/>
        </w:tabs>
      </w:pPr>
      <w:r w:rsidRPr="00603AFD">
        <w:rPr>
          <w:b/>
        </w:rPr>
        <w:t>Repairs and Improvements (R&amp;I) Program:</w:t>
      </w:r>
      <w:r w:rsidRPr="00603AFD">
        <w:rPr>
          <w:color w:val="000000"/>
        </w:rPr>
        <w:t xml:space="preserve"> </w:t>
      </w:r>
      <w:r w:rsidRPr="001368A3">
        <w:rPr>
          <w:color w:val="000000"/>
        </w:rPr>
        <w:t xml:space="preserve"> </w:t>
      </w:r>
      <w:r w:rsidRPr="00603AFD">
        <w:t>The requested resources will support repairs and improvements to the physical plant, building structures, utility systems, roads, and grounds at all the sites in which NIH has an asset interest.  These funds will be used to sustain efficient and effective performance of NIH’s real property assets to meet ongoing and projected research requirements and to offset the deterioration and obsolescence caused by age and use.</w:t>
      </w:r>
    </w:p>
    <w:p w:rsidR="006F6F7B" w:rsidRDefault="008407AB" w:rsidP="006F6F7B">
      <w:pPr>
        <w:tabs>
          <w:tab w:val="left" w:pos="-1080"/>
          <w:tab w:val="left" w:pos="-720"/>
        </w:tabs>
      </w:pPr>
      <w:r>
        <w:t xml:space="preserve"> </w:t>
      </w:r>
    </w:p>
    <w:p w:rsidR="00C70EC7" w:rsidRPr="00603AFD" w:rsidRDefault="00C70EC7" w:rsidP="006F6F7B">
      <w:pPr>
        <w:tabs>
          <w:tab w:val="left" w:pos="-1080"/>
          <w:tab w:val="left" w:pos="-720"/>
        </w:tabs>
      </w:pPr>
      <w:r>
        <w:t>We identify p</w:t>
      </w:r>
      <w:r w:rsidRPr="00603AFD">
        <w:t>rojects for the R&amp;I program</w:t>
      </w:r>
      <w:r>
        <w:t xml:space="preserve"> </w:t>
      </w:r>
      <w:r w:rsidRPr="00603AFD">
        <w:t xml:space="preserve">using NIH facilities and program staff recommendations, various facilities studies, and ongoing facilities assessments performed on each building on a three year cycle by a firm experienced in facility assessment methodology.  Once </w:t>
      </w:r>
      <w:r>
        <w:t xml:space="preserve">we </w:t>
      </w:r>
      <w:r w:rsidRPr="00603AFD">
        <w:t>identif</w:t>
      </w:r>
      <w:r>
        <w:t>y</w:t>
      </w:r>
      <w:r w:rsidRPr="00603AFD">
        <w:t xml:space="preserve"> potential B&amp;F projects, </w:t>
      </w:r>
      <w:r>
        <w:t>we</w:t>
      </w:r>
      <w:r w:rsidRPr="00603AFD">
        <w:t xml:space="preserve"> rank the projects using a decision model with in</w:t>
      </w:r>
      <w:r w:rsidR="00E93AC7">
        <w:t>put from program officials and subject matter e</w:t>
      </w:r>
      <w:r w:rsidRPr="00603AFD">
        <w:t xml:space="preserve">xperts to ensure </w:t>
      </w:r>
      <w:r>
        <w:t xml:space="preserve">our </w:t>
      </w:r>
      <w:r w:rsidRPr="00603AFD">
        <w:t xml:space="preserve">focus </w:t>
      </w:r>
      <w:r>
        <w:t xml:space="preserve">is </w:t>
      </w:r>
      <w:r w:rsidRPr="00603AFD">
        <w:t xml:space="preserve">on the most critical projects within available resources. </w:t>
      </w:r>
      <w:r>
        <w:t xml:space="preserve"> The R&amp;I Board, comprised of senior facilities personnel, makes f</w:t>
      </w:r>
      <w:r w:rsidRPr="00603AFD">
        <w:t>inal project selections.  Facilities infrastructure improvements are necessary to meet shifting research priorities and to meet NIH and HHS goals for improving the condition of NIH buildings.  Such efforts include upgrading building systems, extending utility infrastructure, and implementing other capital repairs to the building</w:t>
      </w:r>
      <w:r>
        <w:t>s</w:t>
      </w:r>
      <w:r w:rsidRPr="00603AFD">
        <w:t xml:space="preserve"> and infrastructures to extend the</w:t>
      </w:r>
      <w:r>
        <w:t>ir</w:t>
      </w:r>
      <w:r w:rsidRPr="00603AFD">
        <w:t xml:space="preserve"> useful life.</w:t>
      </w:r>
    </w:p>
    <w:p w:rsidR="006F6F7B" w:rsidRDefault="006F6F7B" w:rsidP="006F6F7B"/>
    <w:p w:rsidR="00C70EC7" w:rsidRPr="00603AFD" w:rsidRDefault="00C70EC7" w:rsidP="006F6F7B">
      <w:r w:rsidRPr="00603AFD">
        <w:t>This request specifically supports</w:t>
      </w:r>
      <w:r>
        <w:t>:</w:t>
      </w:r>
      <w:r w:rsidRPr="00603AFD">
        <w:t xml:space="preserve"> the continued repair and upgrade of deteriorated infrastructure, including steam and chilled water distribution systems; structural repairs to older buildings </w:t>
      </w:r>
      <w:r>
        <w:t xml:space="preserve">that we may continue using </w:t>
      </w:r>
      <w:r w:rsidRPr="00603AFD">
        <w:t>effectively</w:t>
      </w:r>
      <w:r>
        <w:t>; upgrading</w:t>
      </w:r>
      <w:r w:rsidRPr="00603AFD">
        <w:t xml:space="preserve"> plumbing systems; repair</w:t>
      </w:r>
      <w:r>
        <w:t>ing</w:t>
      </w:r>
      <w:r w:rsidRPr="00603AFD">
        <w:t xml:space="preserve"> elevators; upgrad</w:t>
      </w:r>
      <w:r>
        <w:t>ing</w:t>
      </w:r>
      <w:r w:rsidRPr="00603AFD">
        <w:t xml:space="preserve"> heating, ventilating, and air conditioning systems; replac</w:t>
      </w:r>
      <w:r>
        <w:t xml:space="preserve">ing </w:t>
      </w:r>
      <w:r w:rsidRPr="00603AFD">
        <w:t>deteriorated fan coil units in multiple facilities.  This request supports improvements to address evolving res</w:t>
      </w:r>
      <w:r>
        <w:t>earch requirements</w:t>
      </w:r>
      <w:r w:rsidRPr="00603AFD">
        <w:t>.</w:t>
      </w:r>
    </w:p>
    <w:p w:rsidR="006F6F7B" w:rsidRDefault="006F6F7B" w:rsidP="006F6F7B"/>
    <w:p w:rsidR="00C70EC7" w:rsidRPr="00603AFD" w:rsidRDefault="00C70EC7" w:rsidP="006F6F7B">
      <w:r w:rsidRPr="00603AFD">
        <w:t>This program supports a comprehensive program of repairs and improvements to ensure compliance with stringent Association for the Assessment and Accreditation of Laboratory Animal Care standards.</w:t>
      </w:r>
    </w:p>
    <w:p w:rsidR="00C70EC7" w:rsidRDefault="00C70EC7" w:rsidP="006F6F7B">
      <w:r>
        <w:t>The requested funds will provide decommissioning, dem</w:t>
      </w:r>
      <w:r w:rsidR="00D67F54">
        <w:t>olition, design, construction, c</w:t>
      </w:r>
      <w:r>
        <w:t xml:space="preserve">onstruction </w:t>
      </w:r>
      <w:r w:rsidR="00D67F54">
        <w:t>q</w:t>
      </w:r>
      <w:r>
        <w:t xml:space="preserve">uality </w:t>
      </w:r>
      <w:r w:rsidR="00D67F54">
        <w:t>m</w:t>
      </w:r>
      <w:r>
        <w:t>anagement, and commissioning services for these repairs and improvements.</w:t>
      </w:r>
    </w:p>
    <w:p w:rsidR="006F6F7B" w:rsidRDefault="006F6F7B" w:rsidP="006F6F7B">
      <w:pPr>
        <w:rPr>
          <w:u w:val="single"/>
        </w:rPr>
      </w:pPr>
    </w:p>
    <w:p w:rsidR="00C70EC7" w:rsidRPr="00E34606" w:rsidRDefault="00C70EC7" w:rsidP="006F6F7B">
      <w:r w:rsidRPr="00E34606">
        <w:rPr>
          <w:u w:val="single"/>
        </w:rPr>
        <w:t>Budget Policy</w:t>
      </w:r>
      <w:r w:rsidRPr="00E34606">
        <w:t>:</w:t>
      </w:r>
    </w:p>
    <w:p w:rsidR="00C70EC7" w:rsidRDefault="00C70EC7" w:rsidP="006F6F7B">
      <w:r w:rsidRPr="00E34606">
        <w:t>The FY 201</w:t>
      </w:r>
      <w:r>
        <w:t>7</w:t>
      </w:r>
      <w:r w:rsidRPr="00E34606">
        <w:t xml:space="preserve"> President’s Budget request</w:t>
      </w:r>
      <w:r w:rsidRPr="00E34606" w:rsidDel="00BB46FF">
        <w:t xml:space="preserve"> </w:t>
      </w:r>
      <w:r w:rsidRPr="00E34606">
        <w:t>is $</w:t>
      </w:r>
      <w:r>
        <w:t>1</w:t>
      </w:r>
      <w:r w:rsidR="007F1263">
        <w:t>2</w:t>
      </w:r>
      <w:r w:rsidR="006A4CFD">
        <w:t>5</w:t>
      </w:r>
      <w:r w:rsidR="007F1263">
        <w:t>.</w:t>
      </w:r>
      <w:r w:rsidR="006A4CFD">
        <w:t>663</w:t>
      </w:r>
      <w:r w:rsidRPr="00E34606">
        <w:t xml:space="preserve"> million</w:t>
      </w:r>
      <w:r w:rsidRPr="00120B65">
        <w:t>.</w:t>
      </w:r>
    </w:p>
    <w:p w:rsidR="006A4CFD" w:rsidRDefault="006A4CFD" w:rsidP="006F6F7B"/>
    <w:p w:rsidR="006A4CFD" w:rsidRDefault="00727EC5" w:rsidP="006F6F7B">
      <w:r>
        <w:rPr>
          <w:b/>
        </w:rPr>
        <w:t>Construction</w:t>
      </w:r>
      <w:r w:rsidR="006A4CFD">
        <w:rPr>
          <w:b/>
        </w:rPr>
        <w:t xml:space="preserve">: </w:t>
      </w:r>
      <w:r w:rsidR="006A4CFD" w:rsidRPr="00DF23C6">
        <w:t xml:space="preserve">Due to the age and use of NIH facilities, NIH must invest a significant amount of funds in removing contaminants and hazardous waste before construction or capital repairs can </w:t>
      </w:r>
      <w:r w:rsidR="006F6F7B">
        <w:t xml:space="preserve">begin in most of its buildings. </w:t>
      </w:r>
      <w:r w:rsidR="006A4CFD" w:rsidRPr="00DF23C6">
        <w:t xml:space="preserve"> </w:t>
      </w:r>
      <w:r w:rsidR="006A4CFD">
        <w:t xml:space="preserve">We have created a decommissioning activity that </w:t>
      </w:r>
      <w:r w:rsidR="006A4CFD" w:rsidRPr="00DF23C6">
        <w:t>will allow NIH to segregate and tra</w:t>
      </w:r>
      <w:r w:rsidR="006F6F7B">
        <w:t xml:space="preserve">ck those costs more accurately. </w:t>
      </w:r>
      <w:r w:rsidR="006A4CFD" w:rsidRPr="00DF23C6">
        <w:t xml:space="preserve"> It will also allow NIH to track what contaminants we are clearing from each of our buildings.  This data will help us do a better job of anticipating the cost and time required to decommission for new projects in the same or similar buildings.</w:t>
      </w:r>
    </w:p>
    <w:p w:rsidR="006F6F7B" w:rsidRDefault="006F6F7B" w:rsidP="006F6F7B"/>
    <w:p w:rsidR="006A4CFD" w:rsidRPr="00E34606" w:rsidRDefault="006A4CFD" w:rsidP="006F6F7B">
      <w:pPr>
        <w:tabs>
          <w:tab w:val="left" w:pos="-1080"/>
          <w:tab w:val="left" w:pos="-720"/>
        </w:tabs>
      </w:pPr>
      <w:r w:rsidRPr="00E34606">
        <w:rPr>
          <w:u w:val="single"/>
        </w:rPr>
        <w:t>Budget Policy</w:t>
      </w:r>
      <w:r w:rsidRPr="00E34606">
        <w:t>:</w:t>
      </w:r>
    </w:p>
    <w:p w:rsidR="006A4CFD" w:rsidRDefault="006A4CFD" w:rsidP="006F6F7B">
      <w:pPr>
        <w:tabs>
          <w:tab w:val="left" w:pos="-1080"/>
          <w:tab w:val="left" w:pos="-720"/>
        </w:tabs>
      </w:pPr>
      <w:r w:rsidRPr="00E34606">
        <w:t>The FY 201</w:t>
      </w:r>
      <w:r>
        <w:t>7</w:t>
      </w:r>
      <w:r w:rsidRPr="00E34606">
        <w:t xml:space="preserve"> President’s Budget request</w:t>
      </w:r>
      <w:r w:rsidRPr="00E34606" w:rsidDel="00BB46FF">
        <w:t xml:space="preserve"> </w:t>
      </w:r>
      <w:r w:rsidRPr="00E34606">
        <w:t>is $</w:t>
      </w:r>
      <w:r w:rsidR="00F24F4A">
        <w:t>3.200</w:t>
      </w:r>
      <w:r w:rsidRPr="00E34606">
        <w:t xml:space="preserve"> million</w:t>
      </w:r>
      <w:r w:rsidRPr="00120B65">
        <w:t>.</w:t>
      </w:r>
    </w:p>
    <w:p w:rsidR="006A4CFD" w:rsidRPr="00DF23C6" w:rsidRDefault="006A4CFD" w:rsidP="006F6F7B">
      <w:pPr>
        <w:rPr>
          <w:sz w:val="22"/>
          <w:szCs w:val="22"/>
        </w:rPr>
      </w:pPr>
    </w:p>
    <w:p w:rsidR="006F6F7B" w:rsidRDefault="006F6F7B">
      <w:pPr>
        <w:widowControl/>
        <w:autoSpaceDE/>
        <w:autoSpaceDN/>
        <w:adjustRightInd/>
      </w:pPr>
      <w:r>
        <w:br w:type="page"/>
      </w:r>
    </w:p>
    <w:p w:rsidR="00C70EC7" w:rsidRDefault="00C70EC7" w:rsidP="006F6F7B"/>
    <w:p w:rsidR="00691F26" w:rsidRDefault="00BC18F8" w:rsidP="006F6F7B">
      <w:r>
        <w:rPr>
          <w:noProof/>
        </w:rPr>
        <w:object w:dxaOrig="9637" w:dyaOrig="5339" w14:anchorId="206BF715">
          <v:shape id="_x0000_i1025" type="#_x0000_t75" alt="This Image shows the Budget Authority by Object Class for FY2016, FY 2017 and the difference between the 2 years.  In FY2016, the Operations &amp; Maintenance of facilities had a budget authority of $128,863.  $174,621 in obligations, and a total budget authority by object of $128,863.  The total obligations by object for 2016 was 174,621.  In FY2017, the Operations &amp; Maintenance of Facilities has $128,863, as does the obligations and total budget authority by object." style="width:481.5pt;height:267pt" o:ole="">
            <v:imagedata r:id="rId27" o:title=""/>
          </v:shape>
          <o:OLEObject Type="Embed" ProgID="Excel.Sheet.12" ShapeID="_x0000_i1025" DrawAspect="Content" ObjectID="_1517748311" r:id="rId28"/>
        </w:object>
      </w:r>
    </w:p>
    <w:sectPr w:rsidR="00691F26" w:rsidSect="00102F57">
      <w:pgSz w:w="12240" w:h="15840" w:code="1"/>
      <w:pgMar w:top="1440" w:right="1440" w:bottom="1440" w:left="1440" w:header="1440" w:footer="86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37D" w:rsidRDefault="00C6137D">
      <w:r>
        <w:separator/>
      </w:r>
    </w:p>
  </w:endnote>
  <w:endnote w:type="continuationSeparator" w:id="0">
    <w:p w:rsidR="00C6137D" w:rsidRDefault="00C61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170234"/>
      <w:docPartObj>
        <w:docPartGallery w:val="Page Numbers (Bottom of Page)"/>
        <w:docPartUnique/>
      </w:docPartObj>
    </w:sdtPr>
    <w:sdtEndPr>
      <w:rPr>
        <w:noProof/>
      </w:rPr>
    </w:sdtEndPr>
    <w:sdtContent>
      <w:p w:rsidR="00F96D6B" w:rsidRDefault="00F96D6B" w:rsidP="002F1307">
        <w:pPr>
          <w:pStyle w:val="Footer"/>
          <w:jc w:val="center"/>
        </w:pPr>
        <w:r w:rsidRPr="00356A94">
          <w:t>B&amp;F-</w:t>
        </w:r>
        <w:r>
          <w:fldChar w:fldCharType="begin"/>
        </w:r>
        <w:r>
          <w:instrText xml:space="preserve"> PAGE   \* MERGEFORMAT </w:instrText>
        </w:r>
        <w:r>
          <w:fldChar w:fldCharType="separate"/>
        </w:r>
        <w:r w:rsidR="00F901CA">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37D" w:rsidRDefault="00C6137D">
      <w:r>
        <w:separator/>
      </w:r>
    </w:p>
  </w:footnote>
  <w:footnote w:type="continuationSeparator" w:id="0">
    <w:p w:rsidR="00C6137D" w:rsidRDefault="00C61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6B" w:rsidRPr="00E15895" w:rsidRDefault="00F96D6B" w:rsidP="00E15895">
    <w:pPr>
      <w:pStyle w:val="Header"/>
      <w:tabs>
        <w:tab w:val="clear" w:pos="8640"/>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6B" w:rsidRPr="00E15895" w:rsidRDefault="00F96D6B" w:rsidP="00E158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29A3DEC"/>
    <w:lvl w:ilvl="0">
      <w:numFmt w:val="bullet"/>
      <w:lvlText w:val="*"/>
      <w:lvlJc w:val="left"/>
    </w:lvl>
  </w:abstractNum>
  <w:abstractNum w:abstractNumId="1" w15:restartNumberingAfterBreak="0">
    <w:nsid w:val="00000001"/>
    <w:multiLevelType w:val="multilevel"/>
    <w:tmpl w:val="00000000"/>
    <w:name w:val="Outline"/>
    <w:lvl w:ilvl="0">
      <w:start w:val="1"/>
      <w:numFmt w:val="upperRoman"/>
      <w:pStyle w:val="Level1"/>
      <w:lvlText w:val="%1."/>
      <w:lvlJc w:val="left"/>
    </w:lvl>
    <w:lvl w:ilvl="1">
      <w:start w:val="1"/>
      <w:numFmt w:val="upperLetter"/>
      <w:pStyle w:val="Level2"/>
      <w:lvlText w:val="%2."/>
      <w:lvlJc w:val="left"/>
    </w:lvl>
    <w:lvl w:ilvl="2">
      <w:start w:val="1"/>
      <w:numFmt w:val="upperLetter"/>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2" w15:restartNumberingAfterBreak="0">
    <w:nsid w:val="04EA3B28"/>
    <w:multiLevelType w:val="hybridMultilevel"/>
    <w:tmpl w:val="39E68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902673"/>
    <w:multiLevelType w:val="hybridMultilevel"/>
    <w:tmpl w:val="9E964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708EC"/>
    <w:multiLevelType w:val="hybridMultilevel"/>
    <w:tmpl w:val="B91AA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D6EA8"/>
    <w:multiLevelType w:val="hybridMultilevel"/>
    <w:tmpl w:val="7F649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E1507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CD54A98"/>
    <w:multiLevelType w:val="hybridMultilevel"/>
    <w:tmpl w:val="B89A7E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E81CA8"/>
    <w:multiLevelType w:val="multilevel"/>
    <w:tmpl w:val="7C16CC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4051A"/>
    <w:multiLevelType w:val="hybridMultilevel"/>
    <w:tmpl w:val="BBDE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007E8"/>
    <w:multiLevelType w:val="multilevel"/>
    <w:tmpl w:val="2B722A1E"/>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1" w15:restartNumberingAfterBreak="0">
    <w:nsid w:val="37A87517"/>
    <w:multiLevelType w:val="hybridMultilevel"/>
    <w:tmpl w:val="895C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D10B1D"/>
    <w:multiLevelType w:val="hybridMultilevel"/>
    <w:tmpl w:val="2B722A1E"/>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3BA56DD8"/>
    <w:multiLevelType w:val="hybridMultilevel"/>
    <w:tmpl w:val="A55680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15:restartNumberingAfterBreak="0">
    <w:nsid w:val="3D2622CC"/>
    <w:multiLevelType w:val="multilevel"/>
    <w:tmpl w:val="1F182FE0"/>
    <w:lvl w:ilvl="0">
      <w:start w:val="1"/>
      <w:numFmt w:val="decimal"/>
      <w:lvlText w:val="%1."/>
      <w:lvlJc w:val="left"/>
      <w:pPr>
        <w:tabs>
          <w:tab w:val="num" w:pos="900"/>
        </w:tabs>
        <w:ind w:left="900" w:hanging="360"/>
      </w:pPr>
      <w:rPr>
        <w:rFonts w:hint="default"/>
        <w:i w:val="0"/>
        <w:u w:val="none"/>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5" w15:restartNumberingAfterBreak="0">
    <w:nsid w:val="4CC72F51"/>
    <w:multiLevelType w:val="hybridMultilevel"/>
    <w:tmpl w:val="28F46DA0"/>
    <w:lvl w:ilvl="0" w:tplc="FD14AF9A">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F245904"/>
    <w:multiLevelType w:val="hybridMultilevel"/>
    <w:tmpl w:val="4DD682E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51FE45C9"/>
    <w:multiLevelType w:val="multilevel"/>
    <w:tmpl w:val="0C22E75A"/>
    <w:lvl w:ilvl="0">
      <w:start w:val="1"/>
      <w:numFmt w:val="decimal"/>
      <w:lvlText w:val="%1."/>
      <w:lvlJc w:val="left"/>
      <w:pPr>
        <w:tabs>
          <w:tab w:val="num" w:pos="900"/>
        </w:tabs>
        <w:ind w:left="900" w:hanging="360"/>
      </w:pPr>
      <w:rPr>
        <w:rFonts w:hint="default"/>
        <w:u w:val="none"/>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8" w15:restartNumberingAfterBreak="0">
    <w:nsid w:val="58AF6D6F"/>
    <w:multiLevelType w:val="hybridMultilevel"/>
    <w:tmpl w:val="2998F8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995732C"/>
    <w:multiLevelType w:val="hybridMultilevel"/>
    <w:tmpl w:val="FFB8C56E"/>
    <w:lvl w:ilvl="0" w:tplc="CDF015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042FBE"/>
    <w:multiLevelType w:val="multilevel"/>
    <w:tmpl w:val="2998F8E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613D2A7C"/>
    <w:multiLevelType w:val="hybridMultilevel"/>
    <w:tmpl w:val="943402F8"/>
    <w:lvl w:ilvl="0" w:tplc="065C4BE2">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9640C8"/>
    <w:multiLevelType w:val="multilevel"/>
    <w:tmpl w:val="847058A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67E92F7E"/>
    <w:multiLevelType w:val="hybridMultilevel"/>
    <w:tmpl w:val="7C16CC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E60F6C"/>
    <w:multiLevelType w:val="multilevel"/>
    <w:tmpl w:val="9B7EA326"/>
    <w:lvl w:ilvl="0">
      <w:start w:val="1"/>
      <w:numFmt w:val="decimal"/>
      <w:lvlText w:val="%1."/>
      <w:lvlJc w:val="left"/>
      <w:pPr>
        <w:tabs>
          <w:tab w:val="num" w:pos="900"/>
        </w:tabs>
        <w:ind w:left="900" w:hanging="360"/>
      </w:pPr>
      <w:rPr>
        <w:rFonts w:hint="default"/>
        <w:u w:val="none"/>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5" w15:restartNumberingAfterBreak="0">
    <w:nsid w:val="6AF2207B"/>
    <w:multiLevelType w:val="hybridMultilevel"/>
    <w:tmpl w:val="847058A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E674023"/>
    <w:multiLevelType w:val="multilevel"/>
    <w:tmpl w:val="2760E608"/>
    <w:lvl w:ilvl="0">
      <w:start w:val="2"/>
      <w:numFmt w:val="decimal"/>
      <w:lvlText w:val="%1."/>
      <w:lvlJc w:val="left"/>
      <w:pPr>
        <w:tabs>
          <w:tab w:val="num" w:pos="648"/>
        </w:tabs>
        <w:ind w:left="648" w:hanging="360"/>
      </w:pPr>
      <w:rPr>
        <w:rFonts w:hint="default"/>
        <w:u w:val="none"/>
      </w:rPr>
    </w:lvl>
    <w:lvl w:ilvl="1">
      <w:start w:val="1"/>
      <w:numFmt w:val="lowerLetter"/>
      <w:lvlText w:val="%2."/>
      <w:lvlJc w:val="left"/>
      <w:pPr>
        <w:tabs>
          <w:tab w:val="num" w:pos="1368"/>
        </w:tabs>
        <w:ind w:left="1368" w:hanging="360"/>
      </w:pPr>
    </w:lvl>
    <w:lvl w:ilvl="2">
      <w:start w:val="1"/>
      <w:numFmt w:val="lowerRoman"/>
      <w:lvlText w:val="%3."/>
      <w:lvlJc w:val="right"/>
      <w:pPr>
        <w:tabs>
          <w:tab w:val="num" w:pos="2088"/>
        </w:tabs>
        <w:ind w:left="2088" w:hanging="180"/>
      </w:pPr>
    </w:lvl>
    <w:lvl w:ilvl="3">
      <w:start w:val="1"/>
      <w:numFmt w:val="decimal"/>
      <w:lvlText w:val="%4."/>
      <w:lvlJc w:val="left"/>
      <w:pPr>
        <w:tabs>
          <w:tab w:val="num" w:pos="2808"/>
        </w:tabs>
        <w:ind w:left="2808" w:hanging="360"/>
      </w:pPr>
    </w:lvl>
    <w:lvl w:ilvl="4">
      <w:start w:val="1"/>
      <w:numFmt w:val="lowerLetter"/>
      <w:lvlText w:val="%5."/>
      <w:lvlJc w:val="left"/>
      <w:pPr>
        <w:tabs>
          <w:tab w:val="num" w:pos="3528"/>
        </w:tabs>
        <w:ind w:left="3528" w:hanging="360"/>
      </w:pPr>
    </w:lvl>
    <w:lvl w:ilvl="5">
      <w:start w:val="1"/>
      <w:numFmt w:val="lowerRoman"/>
      <w:lvlText w:val="%6."/>
      <w:lvlJc w:val="right"/>
      <w:pPr>
        <w:tabs>
          <w:tab w:val="num" w:pos="4248"/>
        </w:tabs>
        <w:ind w:left="4248" w:hanging="180"/>
      </w:pPr>
    </w:lvl>
    <w:lvl w:ilvl="6">
      <w:start w:val="1"/>
      <w:numFmt w:val="decimal"/>
      <w:lvlText w:val="%7."/>
      <w:lvlJc w:val="left"/>
      <w:pPr>
        <w:tabs>
          <w:tab w:val="num" w:pos="4968"/>
        </w:tabs>
        <w:ind w:left="4968" w:hanging="360"/>
      </w:pPr>
    </w:lvl>
    <w:lvl w:ilvl="7">
      <w:start w:val="1"/>
      <w:numFmt w:val="lowerLetter"/>
      <w:lvlText w:val="%8."/>
      <w:lvlJc w:val="left"/>
      <w:pPr>
        <w:tabs>
          <w:tab w:val="num" w:pos="5688"/>
        </w:tabs>
        <w:ind w:left="5688" w:hanging="360"/>
      </w:pPr>
    </w:lvl>
    <w:lvl w:ilvl="8">
      <w:start w:val="1"/>
      <w:numFmt w:val="lowerRoman"/>
      <w:lvlText w:val="%9."/>
      <w:lvlJc w:val="right"/>
      <w:pPr>
        <w:tabs>
          <w:tab w:val="num" w:pos="6408"/>
        </w:tabs>
        <w:ind w:left="6408" w:hanging="180"/>
      </w:pPr>
    </w:lvl>
  </w:abstractNum>
  <w:abstractNum w:abstractNumId="27" w15:restartNumberingAfterBreak="0">
    <w:nsid w:val="71BB54F7"/>
    <w:multiLevelType w:val="multilevel"/>
    <w:tmpl w:val="A5568052"/>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8" w15:restartNumberingAfterBreak="0">
    <w:nsid w:val="738A555F"/>
    <w:multiLevelType w:val="hybridMultilevel"/>
    <w:tmpl w:val="0582BCB0"/>
    <w:lvl w:ilvl="0" w:tplc="624EDC84">
      <w:start w:val="1"/>
      <w:numFmt w:val="decimal"/>
      <w:lvlText w:val="%1."/>
      <w:lvlJc w:val="left"/>
      <w:pPr>
        <w:tabs>
          <w:tab w:val="num" w:pos="900"/>
        </w:tabs>
        <w:ind w:left="900" w:hanging="360"/>
      </w:pPr>
      <w:rPr>
        <w:rFonts w:ascii="Times New Roman" w:hAnsi="Times New Roman" w:cs="Times New Roman" w:hint="default"/>
        <w:i w:val="0"/>
        <w:sz w:val="24"/>
        <w:szCs w:val="24"/>
        <w:u w:val="none"/>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9" w15:restartNumberingAfterBreak="0">
    <w:nsid w:val="79340415"/>
    <w:multiLevelType w:val="hybridMultilevel"/>
    <w:tmpl w:val="83442B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AB26283"/>
    <w:multiLevelType w:val="multilevel"/>
    <w:tmpl w:val="0BA2B324"/>
    <w:lvl w:ilvl="0">
      <w:start w:val="1"/>
      <w:numFmt w:val="decimal"/>
      <w:lvlText w:val="%1."/>
      <w:lvlJc w:val="left"/>
      <w:pPr>
        <w:tabs>
          <w:tab w:val="num" w:pos="900"/>
        </w:tabs>
        <w:ind w:left="900" w:hanging="360"/>
      </w:pPr>
      <w:rPr>
        <w:rFonts w:hint="default"/>
        <w:u w:val="none"/>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1" w15:restartNumberingAfterBreak="0">
    <w:nsid w:val="7B1B0879"/>
    <w:multiLevelType w:val="hybridMultilevel"/>
    <w:tmpl w:val="83248018"/>
    <w:lvl w:ilvl="0" w:tplc="671ACD88">
      <w:start w:val="1"/>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2" w15:restartNumberingAfterBreak="0">
    <w:nsid w:val="7F140381"/>
    <w:multiLevelType w:val="hybridMultilevel"/>
    <w:tmpl w:val="2760E608"/>
    <w:lvl w:ilvl="0" w:tplc="2C0C200E">
      <w:start w:val="2"/>
      <w:numFmt w:val="decimal"/>
      <w:lvlText w:val="%1."/>
      <w:lvlJc w:val="left"/>
      <w:pPr>
        <w:tabs>
          <w:tab w:val="num" w:pos="648"/>
        </w:tabs>
        <w:ind w:left="648" w:hanging="360"/>
      </w:pPr>
      <w:rPr>
        <w:rFonts w:hint="default"/>
        <w:u w:val="none"/>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num w:numId="1">
    <w:abstractNumId w:val="1"/>
    <w:lvlOverride w:ilvl="0">
      <w:startOverride w:val="1"/>
      <w:lvl w:ilvl="0">
        <w:start w:val="1"/>
        <w:numFmt w:val="upperRoman"/>
        <w:pStyle w:val="Level1"/>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Roman"/>
        <w:lvlText w:val="%7)"/>
        <w:lvlJc w:val="left"/>
      </w:lvl>
    </w:lvlOverride>
    <w:lvlOverride w:ilvl="7">
      <w:startOverride w:val="1"/>
      <w:lvl w:ilvl="7">
        <w:start w:val="1"/>
        <w:numFmt w:val="lowerLetter"/>
        <w:lvlText w:val="%8)"/>
        <w:lvlJc w:val="left"/>
      </w:lvl>
    </w:lvlOverride>
  </w:num>
  <w:num w:numId="2">
    <w:abstractNumId w:val="1"/>
    <w:lvlOverride w:ilvl="0">
      <w:startOverride w:val="1"/>
      <w:lvl w:ilvl="0">
        <w:start w:val="1"/>
        <w:numFmt w:val="upperRoman"/>
        <w:pStyle w:val="Level1"/>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Roman"/>
        <w:lvlText w:val="%7)"/>
        <w:lvlJc w:val="left"/>
      </w:lvl>
    </w:lvlOverride>
    <w:lvlOverride w:ilvl="7">
      <w:startOverride w:val="1"/>
      <w:lvl w:ilvl="7">
        <w:start w:val="1"/>
        <w:numFmt w:val="lowerLetter"/>
        <w:lvlText w:val="%8)"/>
        <w:lvlJc w:val="left"/>
      </w:lvl>
    </w:lvlOverride>
  </w:num>
  <w:num w:numId="3">
    <w:abstractNumId w:val="1"/>
    <w:lvlOverride w:ilvl="0">
      <w:startOverride w:val="1"/>
      <w:lvl w:ilvl="0">
        <w:start w:val="1"/>
        <w:numFmt w:val="upperRoman"/>
        <w:pStyle w:val="Level1"/>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Roman"/>
        <w:lvlText w:val="%7)"/>
        <w:lvlJc w:val="left"/>
      </w:lvl>
    </w:lvlOverride>
    <w:lvlOverride w:ilvl="7">
      <w:startOverride w:val="1"/>
      <w:lvl w:ilvl="7">
        <w:start w:val="1"/>
        <w:numFmt w:val="lowerLetter"/>
        <w:lvlText w:val="%8)"/>
        <w:lvlJc w:val="left"/>
      </w:lvl>
    </w:lvlOverride>
  </w:num>
  <w:num w:numId="4">
    <w:abstractNumId w:val="6"/>
  </w:num>
  <w:num w:numId="5">
    <w:abstractNumId w:val="7"/>
  </w:num>
  <w:num w:numId="6">
    <w:abstractNumId w:val="32"/>
  </w:num>
  <w:num w:numId="7">
    <w:abstractNumId w:val="28"/>
  </w:num>
  <w:num w:numId="8">
    <w:abstractNumId w:val="30"/>
  </w:num>
  <w:num w:numId="9">
    <w:abstractNumId w:val="16"/>
  </w:num>
  <w:num w:numId="10">
    <w:abstractNumId w:val="26"/>
  </w:num>
  <w:num w:numId="11">
    <w:abstractNumId w:val="13"/>
  </w:num>
  <w:num w:numId="12">
    <w:abstractNumId w:val="24"/>
  </w:num>
  <w:num w:numId="13">
    <w:abstractNumId w:val="27"/>
  </w:num>
  <w:num w:numId="14">
    <w:abstractNumId w:val="18"/>
  </w:num>
  <w:num w:numId="15">
    <w:abstractNumId w:val="20"/>
  </w:num>
  <w:num w:numId="16">
    <w:abstractNumId w:val="12"/>
  </w:num>
  <w:num w:numId="17">
    <w:abstractNumId w:val="10"/>
  </w:num>
  <w:num w:numId="18">
    <w:abstractNumId w:val="17"/>
  </w:num>
  <w:num w:numId="19">
    <w:abstractNumId w:val="14"/>
  </w:num>
  <w:num w:numId="20">
    <w:abstractNumId w:val="25"/>
  </w:num>
  <w:num w:numId="21">
    <w:abstractNumId w:val="22"/>
  </w:num>
  <w:num w:numId="22">
    <w:abstractNumId w:val="23"/>
  </w:num>
  <w:num w:numId="23">
    <w:abstractNumId w:val="8"/>
  </w:num>
  <w:num w:numId="24">
    <w:abstractNumId w:val="4"/>
  </w:num>
  <w:num w:numId="25">
    <w:abstractNumId w:val="5"/>
  </w:num>
  <w:num w:numId="26">
    <w:abstractNumId w:val="31"/>
  </w:num>
  <w:num w:numId="27">
    <w:abstractNumId w:val="2"/>
  </w:num>
  <w:num w:numId="28">
    <w:abstractNumId w:val="11"/>
  </w:num>
  <w:num w:numId="29">
    <w:abstractNumId w:val="29"/>
  </w:num>
  <w:num w:numId="30">
    <w:abstractNumId w:val="0"/>
    <w:lvlOverride w:ilvl="0">
      <w:lvl w:ilvl="0">
        <w:numFmt w:val="bullet"/>
        <w:lvlText w:val=""/>
        <w:legacy w:legacy="1" w:legacySpace="0" w:legacyIndent="360"/>
        <w:lvlJc w:val="left"/>
        <w:rPr>
          <w:rFonts w:ascii="Symbol" w:hAnsi="Symbol" w:hint="default"/>
        </w:rPr>
      </w:lvl>
    </w:lvlOverride>
  </w:num>
  <w:num w:numId="31">
    <w:abstractNumId w:val="3"/>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trackedChanges" w:enforcement="0"/>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93"/>
    <w:rsid w:val="000001F4"/>
    <w:rsid w:val="00001180"/>
    <w:rsid w:val="000020F5"/>
    <w:rsid w:val="00003517"/>
    <w:rsid w:val="000042C2"/>
    <w:rsid w:val="00005771"/>
    <w:rsid w:val="00006F7A"/>
    <w:rsid w:val="00007134"/>
    <w:rsid w:val="00007C1A"/>
    <w:rsid w:val="000107D8"/>
    <w:rsid w:val="0001141B"/>
    <w:rsid w:val="000124BE"/>
    <w:rsid w:val="00012A66"/>
    <w:rsid w:val="0001353F"/>
    <w:rsid w:val="0001357D"/>
    <w:rsid w:val="00014CD6"/>
    <w:rsid w:val="00014E0A"/>
    <w:rsid w:val="000153BF"/>
    <w:rsid w:val="00017499"/>
    <w:rsid w:val="0002031D"/>
    <w:rsid w:val="0002158F"/>
    <w:rsid w:val="0002260F"/>
    <w:rsid w:val="00027103"/>
    <w:rsid w:val="000301CF"/>
    <w:rsid w:val="00031183"/>
    <w:rsid w:val="00031AB1"/>
    <w:rsid w:val="00034273"/>
    <w:rsid w:val="00034E30"/>
    <w:rsid w:val="0003508E"/>
    <w:rsid w:val="0003617A"/>
    <w:rsid w:val="000377F8"/>
    <w:rsid w:val="00040660"/>
    <w:rsid w:val="00041430"/>
    <w:rsid w:val="00043079"/>
    <w:rsid w:val="00044BB6"/>
    <w:rsid w:val="0004509C"/>
    <w:rsid w:val="00046AEB"/>
    <w:rsid w:val="0004761E"/>
    <w:rsid w:val="00050120"/>
    <w:rsid w:val="00050AA8"/>
    <w:rsid w:val="00050F97"/>
    <w:rsid w:val="00052BBD"/>
    <w:rsid w:val="00053BF8"/>
    <w:rsid w:val="00054549"/>
    <w:rsid w:val="00055AE4"/>
    <w:rsid w:val="0005715A"/>
    <w:rsid w:val="00057554"/>
    <w:rsid w:val="000607A0"/>
    <w:rsid w:val="000612A8"/>
    <w:rsid w:val="000626D1"/>
    <w:rsid w:val="00063C20"/>
    <w:rsid w:val="00064AC4"/>
    <w:rsid w:val="00065B6C"/>
    <w:rsid w:val="0006684A"/>
    <w:rsid w:val="00066F7F"/>
    <w:rsid w:val="00072615"/>
    <w:rsid w:val="00075196"/>
    <w:rsid w:val="0007602E"/>
    <w:rsid w:val="0007650E"/>
    <w:rsid w:val="00076FAB"/>
    <w:rsid w:val="00080AD3"/>
    <w:rsid w:val="00081694"/>
    <w:rsid w:val="00081927"/>
    <w:rsid w:val="00082B14"/>
    <w:rsid w:val="00082D97"/>
    <w:rsid w:val="00083A3D"/>
    <w:rsid w:val="00083B98"/>
    <w:rsid w:val="000844B7"/>
    <w:rsid w:val="00085242"/>
    <w:rsid w:val="00085536"/>
    <w:rsid w:val="000857C6"/>
    <w:rsid w:val="0008624F"/>
    <w:rsid w:val="0009176A"/>
    <w:rsid w:val="00092206"/>
    <w:rsid w:val="00092CA8"/>
    <w:rsid w:val="00093839"/>
    <w:rsid w:val="00093B35"/>
    <w:rsid w:val="000968AA"/>
    <w:rsid w:val="00096FF2"/>
    <w:rsid w:val="00096FF7"/>
    <w:rsid w:val="000A1A31"/>
    <w:rsid w:val="000A2C49"/>
    <w:rsid w:val="000A3E73"/>
    <w:rsid w:val="000A63C0"/>
    <w:rsid w:val="000A66C0"/>
    <w:rsid w:val="000A68E7"/>
    <w:rsid w:val="000A730E"/>
    <w:rsid w:val="000B0096"/>
    <w:rsid w:val="000B027A"/>
    <w:rsid w:val="000B0FB7"/>
    <w:rsid w:val="000B26BB"/>
    <w:rsid w:val="000B4836"/>
    <w:rsid w:val="000B4952"/>
    <w:rsid w:val="000B65A1"/>
    <w:rsid w:val="000C0E47"/>
    <w:rsid w:val="000C1B7A"/>
    <w:rsid w:val="000C1F21"/>
    <w:rsid w:val="000C279A"/>
    <w:rsid w:val="000C3467"/>
    <w:rsid w:val="000C3ACB"/>
    <w:rsid w:val="000C5DE1"/>
    <w:rsid w:val="000C6EB3"/>
    <w:rsid w:val="000D0031"/>
    <w:rsid w:val="000D1307"/>
    <w:rsid w:val="000D25B3"/>
    <w:rsid w:val="000D2DC6"/>
    <w:rsid w:val="000D3C72"/>
    <w:rsid w:val="000D561F"/>
    <w:rsid w:val="000D6BFA"/>
    <w:rsid w:val="000E11FC"/>
    <w:rsid w:val="000E31CC"/>
    <w:rsid w:val="000E3615"/>
    <w:rsid w:val="000E5349"/>
    <w:rsid w:val="000E53FD"/>
    <w:rsid w:val="000E5ABF"/>
    <w:rsid w:val="000E5CB7"/>
    <w:rsid w:val="000F166D"/>
    <w:rsid w:val="000F5588"/>
    <w:rsid w:val="000F5F32"/>
    <w:rsid w:val="000F65A1"/>
    <w:rsid w:val="000F6E61"/>
    <w:rsid w:val="000F6F4D"/>
    <w:rsid w:val="00100FF6"/>
    <w:rsid w:val="00101061"/>
    <w:rsid w:val="00102434"/>
    <w:rsid w:val="00102F57"/>
    <w:rsid w:val="00103624"/>
    <w:rsid w:val="0010589F"/>
    <w:rsid w:val="00107175"/>
    <w:rsid w:val="00110992"/>
    <w:rsid w:val="0011255C"/>
    <w:rsid w:val="001149F2"/>
    <w:rsid w:val="00115D70"/>
    <w:rsid w:val="001204CD"/>
    <w:rsid w:val="00120B65"/>
    <w:rsid w:val="00122F11"/>
    <w:rsid w:val="0012529A"/>
    <w:rsid w:val="00125A8B"/>
    <w:rsid w:val="00125B11"/>
    <w:rsid w:val="00125BD5"/>
    <w:rsid w:val="00126FA4"/>
    <w:rsid w:val="00127B47"/>
    <w:rsid w:val="00127F60"/>
    <w:rsid w:val="00130C59"/>
    <w:rsid w:val="00132767"/>
    <w:rsid w:val="00133F2C"/>
    <w:rsid w:val="00134F30"/>
    <w:rsid w:val="0013655F"/>
    <w:rsid w:val="00136710"/>
    <w:rsid w:val="001368A3"/>
    <w:rsid w:val="00137A51"/>
    <w:rsid w:val="00137F92"/>
    <w:rsid w:val="001401B6"/>
    <w:rsid w:val="00140203"/>
    <w:rsid w:val="00141309"/>
    <w:rsid w:val="00142C49"/>
    <w:rsid w:val="00143A55"/>
    <w:rsid w:val="00144317"/>
    <w:rsid w:val="00146BB0"/>
    <w:rsid w:val="0014796D"/>
    <w:rsid w:val="00150374"/>
    <w:rsid w:val="0015049D"/>
    <w:rsid w:val="0015150E"/>
    <w:rsid w:val="00151E7A"/>
    <w:rsid w:val="001523F8"/>
    <w:rsid w:val="001539AC"/>
    <w:rsid w:val="00154C16"/>
    <w:rsid w:val="0016109D"/>
    <w:rsid w:val="00161B28"/>
    <w:rsid w:val="00162FB4"/>
    <w:rsid w:val="0016346D"/>
    <w:rsid w:val="00164D0B"/>
    <w:rsid w:val="00165ECC"/>
    <w:rsid w:val="00166E1B"/>
    <w:rsid w:val="0017014E"/>
    <w:rsid w:val="001701EC"/>
    <w:rsid w:val="001716F2"/>
    <w:rsid w:val="0017275B"/>
    <w:rsid w:val="00174C1F"/>
    <w:rsid w:val="00175AFD"/>
    <w:rsid w:val="00175FD7"/>
    <w:rsid w:val="00182C5C"/>
    <w:rsid w:val="00184005"/>
    <w:rsid w:val="001841DB"/>
    <w:rsid w:val="0018437C"/>
    <w:rsid w:val="0018478E"/>
    <w:rsid w:val="0018771E"/>
    <w:rsid w:val="00187733"/>
    <w:rsid w:val="0019003C"/>
    <w:rsid w:val="00191B51"/>
    <w:rsid w:val="001929B3"/>
    <w:rsid w:val="00194146"/>
    <w:rsid w:val="001A03D5"/>
    <w:rsid w:val="001A231D"/>
    <w:rsid w:val="001A39EF"/>
    <w:rsid w:val="001A3CD2"/>
    <w:rsid w:val="001A6140"/>
    <w:rsid w:val="001A78A7"/>
    <w:rsid w:val="001A7B6F"/>
    <w:rsid w:val="001A7D5B"/>
    <w:rsid w:val="001B0D62"/>
    <w:rsid w:val="001B1E42"/>
    <w:rsid w:val="001B27C0"/>
    <w:rsid w:val="001B37BD"/>
    <w:rsid w:val="001B5F9C"/>
    <w:rsid w:val="001B619E"/>
    <w:rsid w:val="001B762F"/>
    <w:rsid w:val="001C0E65"/>
    <w:rsid w:val="001C1DBF"/>
    <w:rsid w:val="001C28BE"/>
    <w:rsid w:val="001C32DB"/>
    <w:rsid w:val="001C3BD4"/>
    <w:rsid w:val="001C58CC"/>
    <w:rsid w:val="001D0311"/>
    <w:rsid w:val="001D0633"/>
    <w:rsid w:val="001D2187"/>
    <w:rsid w:val="001D3590"/>
    <w:rsid w:val="001D4C04"/>
    <w:rsid w:val="001D59BD"/>
    <w:rsid w:val="001D6E56"/>
    <w:rsid w:val="001E02DF"/>
    <w:rsid w:val="001E06B2"/>
    <w:rsid w:val="001E1E2A"/>
    <w:rsid w:val="001E1F6B"/>
    <w:rsid w:val="001E2846"/>
    <w:rsid w:val="001E2CBE"/>
    <w:rsid w:val="001E406B"/>
    <w:rsid w:val="001E56C2"/>
    <w:rsid w:val="001E6C5C"/>
    <w:rsid w:val="001F015A"/>
    <w:rsid w:val="001F210E"/>
    <w:rsid w:val="001F2161"/>
    <w:rsid w:val="001F413E"/>
    <w:rsid w:val="001F4FC7"/>
    <w:rsid w:val="001F5798"/>
    <w:rsid w:val="001F582B"/>
    <w:rsid w:val="001F70DC"/>
    <w:rsid w:val="001F7900"/>
    <w:rsid w:val="001F7C1A"/>
    <w:rsid w:val="001F7EF7"/>
    <w:rsid w:val="002000BF"/>
    <w:rsid w:val="00200E75"/>
    <w:rsid w:val="002034A6"/>
    <w:rsid w:val="00203C6C"/>
    <w:rsid w:val="00204817"/>
    <w:rsid w:val="002078F3"/>
    <w:rsid w:val="00210D66"/>
    <w:rsid w:val="00211651"/>
    <w:rsid w:val="00211A52"/>
    <w:rsid w:val="00211F52"/>
    <w:rsid w:val="002126DC"/>
    <w:rsid w:val="00213A0C"/>
    <w:rsid w:val="00215F5C"/>
    <w:rsid w:val="00217105"/>
    <w:rsid w:val="0021712A"/>
    <w:rsid w:val="00220414"/>
    <w:rsid w:val="00220462"/>
    <w:rsid w:val="002276CE"/>
    <w:rsid w:val="00227962"/>
    <w:rsid w:val="002311EA"/>
    <w:rsid w:val="00231C29"/>
    <w:rsid w:val="0023334A"/>
    <w:rsid w:val="00233E66"/>
    <w:rsid w:val="00234BCB"/>
    <w:rsid w:val="002359D1"/>
    <w:rsid w:val="00235B40"/>
    <w:rsid w:val="00235C4C"/>
    <w:rsid w:val="00236263"/>
    <w:rsid w:val="00236497"/>
    <w:rsid w:val="00236BAD"/>
    <w:rsid w:val="0023748D"/>
    <w:rsid w:val="00237FDE"/>
    <w:rsid w:val="00240C56"/>
    <w:rsid w:val="002410AA"/>
    <w:rsid w:val="00241745"/>
    <w:rsid w:val="00241A47"/>
    <w:rsid w:val="00242F31"/>
    <w:rsid w:val="00244073"/>
    <w:rsid w:val="00244AEB"/>
    <w:rsid w:val="00244BDF"/>
    <w:rsid w:val="00246ED8"/>
    <w:rsid w:val="00246FE4"/>
    <w:rsid w:val="00247C06"/>
    <w:rsid w:val="00247E2D"/>
    <w:rsid w:val="00250D96"/>
    <w:rsid w:val="002511F2"/>
    <w:rsid w:val="00251DEB"/>
    <w:rsid w:val="00252897"/>
    <w:rsid w:val="00253F6C"/>
    <w:rsid w:val="0025442E"/>
    <w:rsid w:val="002551E4"/>
    <w:rsid w:val="00261341"/>
    <w:rsid w:val="00262460"/>
    <w:rsid w:val="0026346B"/>
    <w:rsid w:val="002635C7"/>
    <w:rsid w:val="002635E7"/>
    <w:rsid w:val="002637B2"/>
    <w:rsid w:val="00264416"/>
    <w:rsid w:val="00265BB7"/>
    <w:rsid w:val="00265F46"/>
    <w:rsid w:val="00266ED7"/>
    <w:rsid w:val="00266F63"/>
    <w:rsid w:val="002703DA"/>
    <w:rsid w:val="00270F68"/>
    <w:rsid w:val="00271CF5"/>
    <w:rsid w:val="00272135"/>
    <w:rsid w:val="002725CC"/>
    <w:rsid w:val="002725DD"/>
    <w:rsid w:val="00274DC8"/>
    <w:rsid w:val="0027531F"/>
    <w:rsid w:val="00275849"/>
    <w:rsid w:val="00277E0B"/>
    <w:rsid w:val="0028005D"/>
    <w:rsid w:val="0028070D"/>
    <w:rsid w:val="00280F59"/>
    <w:rsid w:val="002816BE"/>
    <w:rsid w:val="00282430"/>
    <w:rsid w:val="00282F2F"/>
    <w:rsid w:val="002841A8"/>
    <w:rsid w:val="00284959"/>
    <w:rsid w:val="00284F57"/>
    <w:rsid w:val="00285C24"/>
    <w:rsid w:val="0028683E"/>
    <w:rsid w:val="00290FBB"/>
    <w:rsid w:val="00292562"/>
    <w:rsid w:val="00293943"/>
    <w:rsid w:val="0029452A"/>
    <w:rsid w:val="00294F5E"/>
    <w:rsid w:val="002974B3"/>
    <w:rsid w:val="002A0421"/>
    <w:rsid w:val="002A1454"/>
    <w:rsid w:val="002A19BA"/>
    <w:rsid w:val="002A26B4"/>
    <w:rsid w:val="002A2F06"/>
    <w:rsid w:val="002A6196"/>
    <w:rsid w:val="002A67F1"/>
    <w:rsid w:val="002B0B81"/>
    <w:rsid w:val="002B1F19"/>
    <w:rsid w:val="002B245D"/>
    <w:rsid w:val="002B28FE"/>
    <w:rsid w:val="002B3ACB"/>
    <w:rsid w:val="002B5815"/>
    <w:rsid w:val="002B5A5B"/>
    <w:rsid w:val="002B7E41"/>
    <w:rsid w:val="002C248C"/>
    <w:rsid w:val="002C5EE0"/>
    <w:rsid w:val="002C64DC"/>
    <w:rsid w:val="002C65F3"/>
    <w:rsid w:val="002D18A4"/>
    <w:rsid w:val="002D1AAA"/>
    <w:rsid w:val="002D1E27"/>
    <w:rsid w:val="002D26C4"/>
    <w:rsid w:val="002D4269"/>
    <w:rsid w:val="002D5561"/>
    <w:rsid w:val="002D616B"/>
    <w:rsid w:val="002D6669"/>
    <w:rsid w:val="002E14EE"/>
    <w:rsid w:val="002E1A76"/>
    <w:rsid w:val="002E1C3C"/>
    <w:rsid w:val="002E3404"/>
    <w:rsid w:val="002E3E85"/>
    <w:rsid w:val="002E5745"/>
    <w:rsid w:val="002E5E9C"/>
    <w:rsid w:val="002E7D37"/>
    <w:rsid w:val="002F0D1A"/>
    <w:rsid w:val="002F1307"/>
    <w:rsid w:val="002F20A6"/>
    <w:rsid w:val="002F20D9"/>
    <w:rsid w:val="002F30F3"/>
    <w:rsid w:val="002F3345"/>
    <w:rsid w:val="002F3E6A"/>
    <w:rsid w:val="002F6216"/>
    <w:rsid w:val="002F64DC"/>
    <w:rsid w:val="002F6909"/>
    <w:rsid w:val="002F7A0A"/>
    <w:rsid w:val="0030052A"/>
    <w:rsid w:val="00301447"/>
    <w:rsid w:val="0030156A"/>
    <w:rsid w:val="003025C1"/>
    <w:rsid w:val="00302B62"/>
    <w:rsid w:val="003032B8"/>
    <w:rsid w:val="003043A3"/>
    <w:rsid w:val="00304C67"/>
    <w:rsid w:val="003056EE"/>
    <w:rsid w:val="00305B71"/>
    <w:rsid w:val="0030656E"/>
    <w:rsid w:val="003076F0"/>
    <w:rsid w:val="0031012D"/>
    <w:rsid w:val="003109DF"/>
    <w:rsid w:val="00313746"/>
    <w:rsid w:val="00314E52"/>
    <w:rsid w:val="0031552B"/>
    <w:rsid w:val="00315A4B"/>
    <w:rsid w:val="003174EF"/>
    <w:rsid w:val="0031754E"/>
    <w:rsid w:val="003201BD"/>
    <w:rsid w:val="00320F08"/>
    <w:rsid w:val="003213A0"/>
    <w:rsid w:val="003214D5"/>
    <w:rsid w:val="00321E80"/>
    <w:rsid w:val="00323A2A"/>
    <w:rsid w:val="003257B5"/>
    <w:rsid w:val="00325B4D"/>
    <w:rsid w:val="00325CB9"/>
    <w:rsid w:val="00325F72"/>
    <w:rsid w:val="00326071"/>
    <w:rsid w:val="0032712D"/>
    <w:rsid w:val="003279D3"/>
    <w:rsid w:val="00330C67"/>
    <w:rsid w:val="003320E7"/>
    <w:rsid w:val="00332374"/>
    <w:rsid w:val="00332776"/>
    <w:rsid w:val="003333D5"/>
    <w:rsid w:val="00333575"/>
    <w:rsid w:val="003335CF"/>
    <w:rsid w:val="00333A16"/>
    <w:rsid w:val="00333E4C"/>
    <w:rsid w:val="00340474"/>
    <w:rsid w:val="0034285F"/>
    <w:rsid w:val="003428C9"/>
    <w:rsid w:val="003432CA"/>
    <w:rsid w:val="003443E2"/>
    <w:rsid w:val="00344E2F"/>
    <w:rsid w:val="003451ED"/>
    <w:rsid w:val="00345C75"/>
    <w:rsid w:val="00345CF2"/>
    <w:rsid w:val="00347840"/>
    <w:rsid w:val="003478C4"/>
    <w:rsid w:val="00347C02"/>
    <w:rsid w:val="00352059"/>
    <w:rsid w:val="00352759"/>
    <w:rsid w:val="00352B98"/>
    <w:rsid w:val="00352F75"/>
    <w:rsid w:val="003531C6"/>
    <w:rsid w:val="003538AB"/>
    <w:rsid w:val="00356A94"/>
    <w:rsid w:val="00357946"/>
    <w:rsid w:val="0036165B"/>
    <w:rsid w:val="00361ED0"/>
    <w:rsid w:val="00362E6A"/>
    <w:rsid w:val="003631D2"/>
    <w:rsid w:val="00363827"/>
    <w:rsid w:val="003639D1"/>
    <w:rsid w:val="00364154"/>
    <w:rsid w:val="003649C8"/>
    <w:rsid w:val="00366A05"/>
    <w:rsid w:val="00367524"/>
    <w:rsid w:val="003703B9"/>
    <w:rsid w:val="00370DAA"/>
    <w:rsid w:val="003716EB"/>
    <w:rsid w:val="00373DC0"/>
    <w:rsid w:val="00377F64"/>
    <w:rsid w:val="00380196"/>
    <w:rsid w:val="0038083F"/>
    <w:rsid w:val="00380BF7"/>
    <w:rsid w:val="00382038"/>
    <w:rsid w:val="003821EC"/>
    <w:rsid w:val="00382390"/>
    <w:rsid w:val="00382B2F"/>
    <w:rsid w:val="00383551"/>
    <w:rsid w:val="00383A43"/>
    <w:rsid w:val="00383AE9"/>
    <w:rsid w:val="00383D7F"/>
    <w:rsid w:val="003841B0"/>
    <w:rsid w:val="00384865"/>
    <w:rsid w:val="0038536E"/>
    <w:rsid w:val="00385B4A"/>
    <w:rsid w:val="00385E20"/>
    <w:rsid w:val="00386843"/>
    <w:rsid w:val="00390724"/>
    <w:rsid w:val="00391516"/>
    <w:rsid w:val="00392FB4"/>
    <w:rsid w:val="00393686"/>
    <w:rsid w:val="0039371F"/>
    <w:rsid w:val="00393C64"/>
    <w:rsid w:val="00394ECE"/>
    <w:rsid w:val="00395EFE"/>
    <w:rsid w:val="0039691B"/>
    <w:rsid w:val="00397EF3"/>
    <w:rsid w:val="003A1234"/>
    <w:rsid w:val="003A3226"/>
    <w:rsid w:val="003A426E"/>
    <w:rsid w:val="003A4B7D"/>
    <w:rsid w:val="003A5F20"/>
    <w:rsid w:val="003A61A6"/>
    <w:rsid w:val="003B2621"/>
    <w:rsid w:val="003B3487"/>
    <w:rsid w:val="003B493B"/>
    <w:rsid w:val="003B54C3"/>
    <w:rsid w:val="003B555D"/>
    <w:rsid w:val="003B6689"/>
    <w:rsid w:val="003B6F34"/>
    <w:rsid w:val="003C00B6"/>
    <w:rsid w:val="003C0656"/>
    <w:rsid w:val="003C178A"/>
    <w:rsid w:val="003C48CD"/>
    <w:rsid w:val="003C4DF6"/>
    <w:rsid w:val="003C5B5D"/>
    <w:rsid w:val="003C6592"/>
    <w:rsid w:val="003D2199"/>
    <w:rsid w:val="003D2B47"/>
    <w:rsid w:val="003D3BA4"/>
    <w:rsid w:val="003D5468"/>
    <w:rsid w:val="003D5904"/>
    <w:rsid w:val="003D718C"/>
    <w:rsid w:val="003E039F"/>
    <w:rsid w:val="003E3FF1"/>
    <w:rsid w:val="003E4904"/>
    <w:rsid w:val="003E5063"/>
    <w:rsid w:val="003E5D07"/>
    <w:rsid w:val="003E65A0"/>
    <w:rsid w:val="003E7B5F"/>
    <w:rsid w:val="003E7EB6"/>
    <w:rsid w:val="003F0CC8"/>
    <w:rsid w:val="003F12D1"/>
    <w:rsid w:val="003F35A1"/>
    <w:rsid w:val="003F4767"/>
    <w:rsid w:val="003F4ACF"/>
    <w:rsid w:val="003F537A"/>
    <w:rsid w:val="003F647A"/>
    <w:rsid w:val="003F673A"/>
    <w:rsid w:val="003F6E26"/>
    <w:rsid w:val="003F7B6F"/>
    <w:rsid w:val="0040012C"/>
    <w:rsid w:val="00400999"/>
    <w:rsid w:val="004010DC"/>
    <w:rsid w:val="0040189D"/>
    <w:rsid w:val="00403146"/>
    <w:rsid w:val="00403649"/>
    <w:rsid w:val="00406D14"/>
    <w:rsid w:val="004105F1"/>
    <w:rsid w:val="004129DB"/>
    <w:rsid w:val="004132AB"/>
    <w:rsid w:val="0041363F"/>
    <w:rsid w:val="004136B3"/>
    <w:rsid w:val="00417679"/>
    <w:rsid w:val="0041798D"/>
    <w:rsid w:val="00420547"/>
    <w:rsid w:val="00420ABE"/>
    <w:rsid w:val="0042216B"/>
    <w:rsid w:val="004247F8"/>
    <w:rsid w:val="0042649E"/>
    <w:rsid w:val="00427A29"/>
    <w:rsid w:val="00430B97"/>
    <w:rsid w:val="00431DD0"/>
    <w:rsid w:val="004324AF"/>
    <w:rsid w:val="004325B7"/>
    <w:rsid w:val="004330C6"/>
    <w:rsid w:val="00433DC7"/>
    <w:rsid w:val="00434382"/>
    <w:rsid w:val="00434D47"/>
    <w:rsid w:val="00435842"/>
    <w:rsid w:val="004410B1"/>
    <w:rsid w:val="00441864"/>
    <w:rsid w:val="004418CC"/>
    <w:rsid w:val="00441B60"/>
    <w:rsid w:val="00442320"/>
    <w:rsid w:val="00442A5F"/>
    <w:rsid w:val="004448B2"/>
    <w:rsid w:val="004455BB"/>
    <w:rsid w:val="004460C8"/>
    <w:rsid w:val="004461A4"/>
    <w:rsid w:val="004461EA"/>
    <w:rsid w:val="00446399"/>
    <w:rsid w:val="004463D4"/>
    <w:rsid w:val="00447E32"/>
    <w:rsid w:val="0045023D"/>
    <w:rsid w:val="00450846"/>
    <w:rsid w:val="00450D0B"/>
    <w:rsid w:val="00453824"/>
    <w:rsid w:val="004538C8"/>
    <w:rsid w:val="0045475F"/>
    <w:rsid w:val="00454915"/>
    <w:rsid w:val="00456138"/>
    <w:rsid w:val="0045649F"/>
    <w:rsid w:val="00461035"/>
    <w:rsid w:val="00461D41"/>
    <w:rsid w:val="00461FAF"/>
    <w:rsid w:val="004638BA"/>
    <w:rsid w:val="004658E9"/>
    <w:rsid w:val="004667BA"/>
    <w:rsid w:val="00466CE7"/>
    <w:rsid w:val="00466E1C"/>
    <w:rsid w:val="00467A12"/>
    <w:rsid w:val="00467D3B"/>
    <w:rsid w:val="00474902"/>
    <w:rsid w:val="00474B7A"/>
    <w:rsid w:val="00475A16"/>
    <w:rsid w:val="0047602A"/>
    <w:rsid w:val="00476601"/>
    <w:rsid w:val="00476DE4"/>
    <w:rsid w:val="00477430"/>
    <w:rsid w:val="00477D0A"/>
    <w:rsid w:val="00480369"/>
    <w:rsid w:val="00480711"/>
    <w:rsid w:val="004807B7"/>
    <w:rsid w:val="004830B8"/>
    <w:rsid w:val="0048329B"/>
    <w:rsid w:val="00483DB2"/>
    <w:rsid w:val="004847C1"/>
    <w:rsid w:val="0048768A"/>
    <w:rsid w:val="00487CFE"/>
    <w:rsid w:val="00491C85"/>
    <w:rsid w:val="00492365"/>
    <w:rsid w:val="004930D6"/>
    <w:rsid w:val="00493979"/>
    <w:rsid w:val="00493E7C"/>
    <w:rsid w:val="00494373"/>
    <w:rsid w:val="00494666"/>
    <w:rsid w:val="00494859"/>
    <w:rsid w:val="00495187"/>
    <w:rsid w:val="004973F4"/>
    <w:rsid w:val="00497721"/>
    <w:rsid w:val="004978A5"/>
    <w:rsid w:val="004979E3"/>
    <w:rsid w:val="00497B90"/>
    <w:rsid w:val="004A05D1"/>
    <w:rsid w:val="004A2687"/>
    <w:rsid w:val="004A2E54"/>
    <w:rsid w:val="004A30B2"/>
    <w:rsid w:val="004A33F9"/>
    <w:rsid w:val="004A3458"/>
    <w:rsid w:val="004A4BFC"/>
    <w:rsid w:val="004A5198"/>
    <w:rsid w:val="004A53CA"/>
    <w:rsid w:val="004A7A34"/>
    <w:rsid w:val="004B00FD"/>
    <w:rsid w:val="004B0922"/>
    <w:rsid w:val="004B210C"/>
    <w:rsid w:val="004B2B5B"/>
    <w:rsid w:val="004B367D"/>
    <w:rsid w:val="004B3AA5"/>
    <w:rsid w:val="004B3F7E"/>
    <w:rsid w:val="004B4654"/>
    <w:rsid w:val="004B6BD9"/>
    <w:rsid w:val="004B6BFF"/>
    <w:rsid w:val="004B7879"/>
    <w:rsid w:val="004B7ED2"/>
    <w:rsid w:val="004C32AA"/>
    <w:rsid w:val="004C33A6"/>
    <w:rsid w:val="004C4879"/>
    <w:rsid w:val="004C6E0C"/>
    <w:rsid w:val="004D02B8"/>
    <w:rsid w:val="004D0664"/>
    <w:rsid w:val="004D06F2"/>
    <w:rsid w:val="004D17ED"/>
    <w:rsid w:val="004D2717"/>
    <w:rsid w:val="004D2D24"/>
    <w:rsid w:val="004D3E53"/>
    <w:rsid w:val="004D4C59"/>
    <w:rsid w:val="004D6909"/>
    <w:rsid w:val="004D709E"/>
    <w:rsid w:val="004D76EA"/>
    <w:rsid w:val="004E11A2"/>
    <w:rsid w:val="004E19EF"/>
    <w:rsid w:val="004E262D"/>
    <w:rsid w:val="004E3207"/>
    <w:rsid w:val="004E38EE"/>
    <w:rsid w:val="004E39DA"/>
    <w:rsid w:val="004E410E"/>
    <w:rsid w:val="004E75D3"/>
    <w:rsid w:val="004E77EC"/>
    <w:rsid w:val="004F0330"/>
    <w:rsid w:val="004F04F8"/>
    <w:rsid w:val="004F0796"/>
    <w:rsid w:val="004F07EF"/>
    <w:rsid w:val="004F0C8F"/>
    <w:rsid w:val="004F102E"/>
    <w:rsid w:val="004F18CB"/>
    <w:rsid w:val="004F280D"/>
    <w:rsid w:val="004F395E"/>
    <w:rsid w:val="004F3F3A"/>
    <w:rsid w:val="004F41B8"/>
    <w:rsid w:val="004F65F4"/>
    <w:rsid w:val="004F66F4"/>
    <w:rsid w:val="0050452F"/>
    <w:rsid w:val="0050499E"/>
    <w:rsid w:val="00505303"/>
    <w:rsid w:val="005054DA"/>
    <w:rsid w:val="00505AD9"/>
    <w:rsid w:val="0050782F"/>
    <w:rsid w:val="00510095"/>
    <w:rsid w:val="005102CB"/>
    <w:rsid w:val="00511182"/>
    <w:rsid w:val="00513245"/>
    <w:rsid w:val="00514578"/>
    <w:rsid w:val="00514AC8"/>
    <w:rsid w:val="00515577"/>
    <w:rsid w:val="00517001"/>
    <w:rsid w:val="00520A43"/>
    <w:rsid w:val="00520B7A"/>
    <w:rsid w:val="0052171C"/>
    <w:rsid w:val="00523697"/>
    <w:rsid w:val="0052388F"/>
    <w:rsid w:val="005241C4"/>
    <w:rsid w:val="0052488F"/>
    <w:rsid w:val="005261F7"/>
    <w:rsid w:val="0052690A"/>
    <w:rsid w:val="005272D7"/>
    <w:rsid w:val="00530D00"/>
    <w:rsid w:val="0053293A"/>
    <w:rsid w:val="00532AE8"/>
    <w:rsid w:val="0053302D"/>
    <w:rsid w:val="00535045"/>
    <w:rsid w:val="005360BC"/>
    <w:rsid w:val="00536AA1"/>
    <w:rsid w:val="005401D5"/>
    <w:rsid w:val="00540BB0"/>
    <w:rsid w:val="00542C47"/>
    <w:rsid w:val="00542CAF"/>
    <w:rsid w:val="00543F57"/>
    <w:rsid w:val="00544A62"/>
    <w:rsid w:val="00544C02"/>
    <w:rsid w:val="005455CF"/>
    <w:rsid w:val="0054636D"/>
    <w:rsid w:val="00547AC4"/>
    <w:rsid w:val="00547F77"/>
    <w:rsid w:val="00550B60"/>
    <w:rsid w:val="0055220C"/>
    <w:rsid w:val="005527F9"/>
    <w:rsid w:val="0055291B"/>
    <w:rsid w:val="005535B9"/>
    <w:rsid w:val="00553E80"/>
    <w:rsid w:val="00554FC3"/>
    <w:rsid w:val="00555097"/>
    <w:rsid w:val="00556259"/>
    <w:rsid w:val="00556736"/>
    <w:rsid w:val="00556802"/>
    <w:rsid w:val="00556C81"/>
    <w:rsid w:val="00557A74"/>
    <w:rsid w:val="00557BCA"/>
    <w:rsid w:val="00557DEC"/>
    <w:rsid w:val="0056067C"/>
    <w:rsid w:val="005609A5"/>
    <w:rsid w:val="00561ED5"/>
    <w:rsid w:val="005623A9"/>
    <w:rsid w:val="00563A85"/>
    <w:rsid w:val="00565033"/>
    <w:rsid w:val="0056523C"/>
    <w:rsid w:val="00565413"/>
    <w:rsid w:val="00566C7D"/>
    <w:rsid w:val="00566E96"/>
    <w:rsid w:val="00570538"/>
    <w:rsid w:val="00571742"/>
    <w:rsid w:val="00571B16"/>
    <w:rsid w:val="0057383F"/>
    <w:rsid w:val="00573FF0"/>
    <w:rsid w:val="0057402F"/>
    <w:rsid w:val="00574AC9"/>
    <w:rsid w:val="0057568D"/>
    <w:rsid w:val="005779BB"/>
    <w:rsid w:val="0058125F"/>
    <w:rsid w:val="0058323E"/>
    <w:rsid w:val="00584411"/>
    <w:rsid w:val="00584603"/>
    <w:rsid w:val="0058480A"/>
    <w:rsid w:val="00584C64"/>
    <w:rsid w:val="005867A0"/>
    <w:rsid w:val="005868D7"/>
    <w:rsid w:val="00586EA9"/>
    <w:rsid w:val="0059023F"/>
    <w:rsid w:val="005905C8"/>
    <w:rsid w:val="005906EC"/>
    <w:rsid w:val="00591D96"/>
    <w:rsid w:val="00591F57"/>
    <w:rsid w:val="005927BB"/>
    <w:rsid w:val="00594374"/>
    <w:rsid w:val="00594808"/>
    <w:rsid w:val="0059556D"/>
    <w:rsid w:val="00595ACA"/>
    <w:rsid w:val="005A1233"/>
    <w:rsid w:val="005A1D38"/>
    <w:rsid w:val="005A26AB"/>
    <w:rsid w:val="005A3344"/>
    <w:rsid w:val="005A6105"/>
    <w:rsid w:val="005A68DC"/>
    <w:rsid w:val="005B06D3"/>
    <w:rsid w:val="005B0AC0"/>
    <w:rsid w:val="005B16CE"/>
    <w:rsid w:val="005B1BED"/>
    <w:rsid w:val="005B290D"/>
    <w:rsid w:val="005B325F"/>
    <w:rsid w:val="005B3CE3"/>
    <w:rsid w:val="005B57F5"/>
    <w:rsid w:val="005B5C1F"/>
    <w:rsid w:val="005B601D"/>
    <w:rsid w:val="005B64C0"/>
    <w:rsid w:val="005C0512"/>
    <w:rsid w:val="005C1CBF"/>
    <w:rsid w:val="005C1F8A"/>
    <w:rsid w:val="005C200C"/>
    <w:rsid w:val="005C4770"/>
    <w:rsid w:val="005C494E"/>
    <w:rsid w:val="005C4AEF"/>
    <w:rsid w:val="005C5082"/>
    <w:rsid w:val="005C5E73"/>
    <w:rsid w:val="005C6026"/>
    <w:rsid w:val="005C6FA5"/>
    <w:rsid w:val="005C7782"/>
    <w:rsid w:val="005C7D1B"/>
    <w:rsid w:val="005C7DAA"/>
    <w:rsid w:val="005D0369"/>
    <w:rsid w:val="005D0B4B"/>
    <w:rsid w:val="005D1458"/>
    <w:rsid w:val="005D1EDE"/>
    <w:rsid w:val="005D2824"/>
    <w:rsid w:val="005D3129"/>
    <w:rsid w:val="005D39A9"/>
    <w:rsid w:val="005D53A8"/>
    <w:rsid w:val="005D5D18"/>
    <w:rsid w:val="005D6135"/>
    <w:rsid w:val="005D7235"/>
    <w:rsid w:val="005D7CB6"/>
    <w:rsid w:val="005E00E9"/>
    <w:rsid w:val="005E1B6E"/>
    <w:rsid w:val="005E2188"/>
    <w:rsid w:val="005E2CA5"/>
    <w:rsid w:val="005E5AEC"/>
    <w:rsid w:val="005F0020"/>
    <w:rsid w:val="005F2904"/>
    <w:rsid w:val="005F3613"/>
    <w:rsid w:val="005F6DDA"/>
    <w:rsid w:val="00602A5D"/>
    <w:rsid w:val="00602DBC"/>
    <w:rsid w:val="00603AFD"/>
    <w:rsid w:val="00604718"/>
    <w:rsid w:val="00604719"/>
    <w:rsid w:val="00604D08"/>
    <w:rsid w:val="00605F56"/>
    <w:rsid w:val="00607DAA"/>
    <w:rsid w:val="00610F1C"/>
    <w:rsid w:val="00611B7E"/>
    <w:rsid w:val="00612766"/>
    <w:rsid w:val="006131BB"/>
    <w:rsid w:val="00614524"/>
    <w:rsid w:val="0061566A"/>
    <w:rsid w:val="00617165"/>
    <w:rsid w:val="006179A9"/>
    <w:rsid w:val="00617CC2"/>
    <w:rsid w:val="006222E9"/>
    <w:rsid w:val="00622A5A"/>
    <w:rsid w:val="00623F28"/>
    <w:rsid w:val="0062418E"/>
    <w:rsid w:val="006242C1"/>
    <w:rsid w:val="00625056"/>
    <w:rsid w:val="00625F76"/>
    <w:rsid w:val="006265E3"/>
    <w:rsid w:val="00626B9E"/>
    <w:rsid w:val="0062769D"/>
    <w:rsid w:val="00627920"/>
    <w:rsid w:val="00627D03"/>
    <w:rsid w:val="00630D10"/>
    <w:rsid w:val="00631270"/>
    <w:rsid w:val="0063158F"/>
    <w:rsid w:val="00631D1E"/>
    <w:rsid w:val="006330B3"/>
    <w:rsid w:val="006335E9"/>
    <w:rsid w:val="00633A4D"/>
    <w:rsid w:val="006343A5"/>
    <w:rsid w:val="0063668D"/>
    <w:rsid w:val="00636DF8"/>
    <w:rsid w:val="0063700A"/>
    <w:rsid w:val="00640711"/>
    <w:rsid w:val="006422E3"/>
    <w:rsid w:val="006425C7"/>
    <w:rsid w:val="00643550"/>
    <w:rsid w:val="00643785"/>
    <w:rsid w:val="0064424E"/>
    <w:rsid w:val="0064474D"/>
    <w:rsid w:val="00644B6D"/>
    <w:rsid w:val="0064539C"/>
    <w:rsid w:val="00645628"/>
    <w:rsid w:val="006459A7"/>
    <w:rsid w:val="00646790"/>
    <w:rsid w:val="00650109"/>
    <w:rsid w:val="00650887"/>
    <w:rsid w:val="006526E6"/>
    <w:rsid w:val="006537EB"/>
    <w:rsid w:val="00655132"/>
    <w:rsid w:val="0065633C"/>
    <w:rsid w:val="006565AC"/>
    <w:rsid w:val="00656EF9"/>
    <w:rsid w:val="00660333"/>
    <w:rsid w:val="00661251"/>
    <w:rsid w:val="00661ECB"/>
    <w:rsid w:val="00661FF0"/>
    <w:rsid w:val="0066246E"/>
    <w:rsid w:val="00662F43"/>
    <w:rsid w:val="00663095"/>
    <w:rsid w:val="006632CC"/>
    <w:rsid w:val="006633F8"/>
    <w:rsid w:val="006634A1"/>
    <w:rsid w:val="006653D8"/>
    <w:rsid w:val="0066626D"/>
    <w:rsid w:val="0066645F"/>
    <w:rsid w:val="0066776C"/>
    <w:rsid w:val="00672A78"/>
    <w:rsid w:val="00672E03"/>
    <w:rsid w:val="00675889"/>
    <w:rsid w:val="00677146"/>
    <w:rsid w:val="00680BC0"/>
    <w:rsid w:val="006815EB"/>
    <w:rsid w:val="00681C7B"/>
    <w:rsid w:val="00682262"/>
    <w:rsid w:val="006823B4"/>
    <w:rsid w:val="00684284"/>
    <w:rsid w:val="006855C4"/>
    <w:rsid w:val="00685EC3"/>
    <w:rsid w:val="00685FBC"/>
    <w:rsid w:val="00687C4F"/>
    <w:rsid w:val="00690117"/>
    <w:rsid w:val="00690AF2"/>
    <w:rsid w:val="00690B20"/>
    <w:rsid w:val="0069199F"/>
    <w:rsid w:val="00691BC3"/>
    <w:rsid w:val="00691F26"/>
    <w:rsid w:val="006923AC"/>
    <w:rsid w:val="0069242B"/>
    <w:rsid w:val="00692AC2"/>
    <w:rsid w:val="00692D47"/>
    <w:rsid w:val="00693957"/>
    <w:rsid w:val="00693C5E"/>
    <w:rsid w:val="006A003C"/>
    <w:rsid w:val="006A19B1"/>
    <w:rsid w:val="006A22FD"/>
    <w:rsid w:val="006A2524"/>
    <w:rsid w:val="006A2890"/>
    <w:rsid w:val="006A2F03"/>
    <w:rsid w:val="006A2F8D"/>
    <w:rsid w:val="006A4CFD"/>
    <w:rsid w:val="006A6201"/>
    <w:rsid w:val="006A77BD"/>
    <w:rsid w:val="006A7A58"/>
    <w:rsid w:val="006A7EE4"/>
    <w:rsid w:val="006B2BA3"/>
    <w:rsid w:val="006B2D1E"/>
    <w:rsid w:val="006B4599"/>
    <w:rsid w:val="006B4A85"/>
    <w:rsid w:val="006B69DC"/>
    <w:rsid w:val="006B6A1B"/>
    <w:rsid w:val="006B6E13"/>
    <w:rsid w:val="006B7920"/>
    <w:rsid w:val="006C003E"/>
    <w:rsid w:val="006C3763"/>
    <w:rsid w:val="006C4EF0"/>
    <w:rsid w:val="006C6F57"/>
    <w:rsid w:val="006D03EE"/>
    <w:rsid w:val="006D0A8D"/>
    <w:rsid w:val="006D12E9"/>
    <w:rsid w:val="006D2A2B"/>
    <w:rsid w:val="006D3463"/>
    <w:rsid w:val="006D4769"/>
    <w:rsid w:val="006D4A05"/>
    <w:rsid w:val="006D4E99"/>
    <w:rsid w:val="006D5E2C"/>
    <w:rsid w:val="006E01F8"/>
    <w:rsid w:val="006E0C6A"/>
    <w:rsid w:val="006E0DF1"/>
    <w:rsid w:val="006E1289"/>
    <w:rsid w:val="006E2A32"/>
    <w:rsid w:val="006E5741"/>
    <w:rsid w:val="006E6E6D"/>
    <w:rsid w:val="006F05F1"/>
    <w:rsid w:val="006F0842"/>
    <w:rsid w:val="006F1F9E"/>
    <w:rsid w:val="006F217D"/>
    <w:rsid w:val="006F2CF2"/>
    <w:rsid w:val="006F2E8A"/>
    <w:rsid w:val="006F52DA"/>
    <w:rsid w:val="006F6279"/>
    <w:rsid w:val="006F6EBD"/>
    <w:rsid w:val="006F6F7B"/>
    <w:rsid w:val="006F722C"/>
    <w:rsid w:val="006F72C9"/>
    <w:rsid w:val="006F787E"/>
    <w:rsid w:val="006F7AB4"/>
    <w:rsid w:val="007008A8"/>
    <w:rsid w:val="00700C61"/>
    <w:rsid w:val="00700F00"/>
    <w:rsid w:val="00701FEF"/>
    <w:rsid w:val="007022D8"/>
    <w:rsid w:val="0070267F"/>
    <w:rsid w:val="007027E6"/>
    <w:rsid w:val="00704789"/>
    <w:rsid w:val="00705086"/>
    <w:rsid w:val="007052EC"/>
    <w:rsid w:val="0070531D"/>
    <w:rsid w:val="00705707"/>
    <w:rsid w:val="00705733"/>
    <w:rsid w:val="00706087"/>
    <w:rsid w:val="0070718A"/>
    <w:rsid w:val="00707F63"/>
    <w:rsid w:val="007111DF"/>
    <w:rsid w:val="00713B76"/>
    <w:rsid w:val="007142D3"/>
    <w:rsid w:val="00714AC5"/>
    <w:rsid w:val="0071685B"/>
    <w:rsid w:val="00716D45"/>
    <w:rsid w:val="00716DE2"/>
    <w:rsid w:val="00720F98"/>
    <w:rsid w:val="00722785"/>
    <w:rsid w:val="00722907"/>
    <w:rsid w:val="00722EC7"/>
    <w:rsid w:val="00724D9F"/>
    <w:rsid w:val="00725016"/>
    <w:rsid w:val="00725029"/>
    <w:rsid w:val="00725C18"/>
    <w:rsid w:val="0072664B"/>
    <w:rsid w:val="007277CF"/>
    <w:rsid w:val="00727EC5"/>
    <w:rsid w:val="007318CB"/>
    <w:rsid w:val="00731BEB"/>
    <w:rsid w:val="007323AE"/>
    <w:rsid w:val="0073273A"/>
    <w:rsid w:val="007349C1"/>
    <w:rsid w:val="00735E77"/>
    <w:rsid w:val="007360BC"/>
    <w:rsid w:val="007369DC"/>
    <w:rsid w:val="00736F47"/>
    <w:rsid w:val="007376F8"/>
    <w:rsid w:val="007401DC"/>
    <w:rsid w:val="007405E3"/>
    <w:rsid w:val="00742060"/>
    <w:rsid w:val="0074217C"/>
    <w:rsid w:val="0074234D"/>
    <w:rsid w:val="00743183"/>
    <w:rsid w:val="007434B4"/>
    <w:rsid w:val="00743A13"/>
    <w:rsid w:val="00744654"/>
    <w:rsid w:val="00744B34"/>
    <w:rsid w:val="00745FE8"/>
    <w:rsid w:val="00751313"/>
    <w:rsid w:val="00751BE0"/>
    <w:rsid w:val="0075353D"/>
    <w:rsid w:val="0075436E"/>
    <w:rsid w:val="007544C4"/>
    <w:rsid w:val="00756226"/>
    <w:rsid w:val="00756C30"/>
    <w:rsid w:val="00757C22"/>
    <w:rsid w:val="00760D4B"/>
    <w:rsid w:val="0076499D"/>
    <w:rsid w:val="007659C9"/>
    <w:rsid w:val="00767A74"/>
    <w:rsid w:val="00772DAC"/>
    <w:rsid w:val="007744FE"/>
    <w:rsid w:val="00776289"/>
    <w:rsid w:val="00777636"/>
    <w:rsid w:val="00780670"/>
    <w:rsid w:val="00781AB7"/>
    <w:rsid w:val="00781C9E"/>
    <w:rsid w:val="00781CA7"/>
    <w:rsid w:val="00783618"/>
    <w:rsid w:val="00785522"/>
    <w:rsid w:val="007863E5"/>
    <w:rsid w:val="00786D49"/>
    <w:rsid w:val="0078718D"/>
    <w:rsid w:val="00791912"/>
    <w:rsid w:val="00791AB0"/>
    <w:rsid w:val="007920B1"/>
    <w:rsid w:val="00792E6D"/>
    <w:rsid w:val="007934A8"/>
    <w:rsid w:val="0079377A"/>
    <w:rsid w:val="00793A8E"/>
    <w:rsid w:val="00793ADF"/>
    <w:rsid w:val="00794B7C"/>
    <w:rsid w:val="00796901"/>
    <w:rsid w:val="007A25D7"/>
    <w:rsid w:val="007A3E93"/>
    <w:rsid w:val="007A567A"/>
    <w:rsid w:val="007A5B0E"/>
    <w:rsid w:val="007A61FD"/>
    <w:rsid w:val="007A6415"/>
    <w:rsid w:val="007B06EB"/>
    <w:rsid w:val="007B0D02"/>
    <w:rsid w:val="007B16A7"/>
    <w:rsid w:val="007B1A64"/>
    <w:rsid w:val="007B2084"/>
    <w:rsid w:val="007B25CE"/>
    <w:rsid w:val="007B3B8C"/>
    <w:rsid w:val="007B3F3D"/>
    <w:rsid w:val="007B43A6"/>
    <w:rsid w:val="007B453D"/>
    <w:rsid w:val="007B4D1B"/>
    <w:rsid w:val="007B4D38"/>
    <w:rsid w:val="007B551E"/>
    <w:rsid w:val="007B5678"/>
    <w:rsid w:val="007B5A10"/>
    <w:rsid w:val="007B62C3"/>
    <w:rsid w:val="007B6B7F"/>
    <w:rsid w:val="007B7566"/>
    <w:rsid w:val="007B76AF"/>
    <w:rsid w:val="007B7B4C"/>
    <w:rsid w:val="007C02A5"/>
    <w:rsid w:val="007C1C83"/>
    <w:rsid w:val="007C2BFF"/>
    <w:rsid w:val="007C2E9A"/>
    <w:rsid w:val="007C2ED3"/>
    <w:rsid w:val="007C3DCC"/>
    <w:rsid w:val="007C4676"/>
    <w:rsid w:val="007C64D2"/>
    <w:rsid w:val="007C7B5D"/>
    <w:rsid w:val="007D033F"/>
    <w:rsid w:val="007D06B6"/>
    <w:rsid w:val="007D1B0A"/>
    <w:rsid w:val="007D23CD"/>
    <w:rsid w:val="007D3DFE"/>
    <w:rsid w:val="007D5B1B"/>
    <w:rsid w:val="007E0274"/>
    <w:rsid w:val="007E059B"/>
    <w:rsid w:val="007E07B7"/>
    <w:rsid w:val="007E211A"/>
    <w:rsid w:val="007E2F85"/>
    <w:rsid w:val="007E59CA"/>
    <w:rsid w:val="007E6C96"/>
    <w:rsid w:val="007E73E2"/>
    <w:rsid w:val="007F0CE4"/>
    <w:rsid w:val="007F124D"/>
    <w:rsid w:val="007F1263"/>
    <w:rsid w:val="007F4217"/>
    <w:rsid w:val="007F4E7A"/>
    <w:rsid w:val="007F5FAA"/>
    <w:rsid w:val="007F5FDD"/>
    <w:rsid w:val="007F775E"/>
    <w:rsid w:val="0080098E"/>
    <w:rsid w:val="00802C4E"/>
    <w:rsid w:val="008046DE"/>
    <w:rsid w:val="00804BF3"/>
    <w:rsid w:val="00805B66"/>
    <w:rsid w:val="00807696"/>
    <w:rsid w:val="00811456"/>
    <w:rsid w:val="00812005"/>
    <w:rsid w:val="00812174"/>
    <w:rsid w:val="00812B2F"/>
    <w:rsid w:val="008133FA"/>
    <w:rsid w:val="00813ABE"/>
    <w:rsid w:val="00813C17"/>
    <w:rsid w:val="00814B98"/>
    <w:rsid w:val="00814FE9"/>
    <w:rsid w:val="008152DB"/>
    <w:rsid w:val="00815ECA"/>
    <w:rsid w:val="0081636F"/>
    <w:rsid w:val="0081778D"/>
    <w:rsid w:val="00820DF6"/>
    <w:rsid w:val="0082257E"/>
    <w:rsid w:val="00822C4B"/>
    <w:rsid w:val="00822D66"/>
    <w:rsid w:val="00822E67"/>
    <w:rsid w:val="008251DF"/>
    <w:rsid w:val="00825726"/>
    <w:rsid w:val="00825C8B"/>
    <w:rsid w:val="00830035"/>
    <w:rsid w:val="00831358"/>
    <w:rsid w:val="008321B5"/>
    <w:rsid w:val="00832266"/>
    <w:rsid w:val="00832891"/>
    <w:rsid w:val="00832C6B"/>
    <w:rsid w:val="00833145"/>
    <w:rsid w:val="00833D0D"/>
    <w:rsid w:val="008350DB"/>
    <w:rsid w:val="00836AC1"/>
    <w:rsid w:val="008401F0"/>
    <w:rsid w:val="008407AB"/>
    <w:rsid w:val="0084117F"/>
    <w:rsid w:val="00841D7C"/>
    <w:rsid w:val="008421CF"/>
    <w:rsid w:val="00842ABA"/>
    <w:rsid w:val="00842FEF"/>
    <w:rsid w:val="00843225"/>
    <w:rsid w:val="00845B4A"/>
    <w:rsid w:val="0085077D"/>
    <w:rsid w:val="00850F0B"/>
    <w:rsid w:val="00850FBD"/>
    <w:rsid w:val="008539DB"/>
    <w:rsid w:val="00853A80"/>
    <w:rsid w:val="00857981"/>
    <w:rsid w:val="00857CF5"/>
    <w:rsid w:val="00860A19"/>
    <w:rsid w:val="008614AD"/>
    <w:rsid w:val="008618DA"/>
    <w:rsid w:val="00861A12"/>
    <w:rsid w:val="00862785"/>
    <w:rsid w:val="00862AAD"/>
    <w:rsid w:val="00862B57"/>
    <w:rsid w:val="00862FC7"/>
    <w:rsid w:val="0086616B"/>
    <w:rsid w:val="00866480"/>
    <w:rsid w:val="00866E5F"/>
    <w:rsid w:val="00866F8C"/>
    <w:rsid w:val="00870002"/>
    <w:rsid w:val="008707F6"/>
    <w:rsid w:val="00870BAC"/>
    <w:rsid w:val="00873012"/>
    <w:rsid w:val="00876BAC"/>
    <w:rsid w:val="008770D8"/>
    <w:rsid w:val="008772EF"/>
    <w:rsid w:val="0087788E"/>
    <w:rsid w:val="008803A9"/>
    <w:rsid w:val="008820E8"/>
    <w:rsid w:val="00882C30"/>
    <w:rsid w:val="00882E2E"/>
    <w:rsid w:val="008838E4"/>
    <w:rsid w:val="008846B0"/>
    <w:rsid w:val="00884857"/>
    <w:rsid w:val="008849F1"/>
    <w:rsid w:val="00884D89"/>
    <w:rsid w:val="00884DF0"/>
    <w:rsid w:val="00884E15"/>
    <w:rsid w:val="00885E62"/>
    <w:rsid w:val="00886C32"/>
    <w:rsid w:val="00886C7B"/>
    <w:rsid w:val="00887D36"/>
    <w:rsid w:val="008918B5"/>
    <w:rsid w:val="00893FBD"/>
    <w:rsid w:val="008954E2"/>
    <w:rsid w:val="008956E0"/>
    <w:rsid w:val="008A04D9"/>
    <w:rsid w:val="008A12F1"/>
    <w:rsid w:val="008A16CB"/>
    <w:rsid w:val="008A1ECC"/>
    <w:rsid w:val="008A242A"/>
    <w:rsid w:val="008A2B22"/>
    <w:rsid w:val="008A5703"/>
    <w:rsid w:val="008A5B7E"/>
    <w:rsid w:val="008A733D"/>
    <w:rsid w:val="008A7B45"/>
    <w:rsid w:val="008B0E3E"/>
    <w:rsid w:val="008B2BA0"/>
    <w:rsid w:val="008B6A90"/>
    <w:rsid w:val="008B7A5B"/>
    <w:rsid w:val="008B7C39"/>
    <w:rsid w:val="008C04F7"/>
    <w:rsid w:val="008C406F"/>
    <w:rsid w:val="008C6D41"/>
    <w:rsid w:val="008D0678"/>
    <w:rsid w:val="008D0B84"/>
    <w:rsid w:val="008D3260"/>
    <w:rsid w:val="008D4A7F"/>
    <w:rsid w:val="008D4C55"/>
    <w:rsid w:val="008E07EE"/>
    <w:rsid w:val="008E0F9C"/>
    <w:rsid w:val="008E11F2"/>
    <w:rsid w:val="008E2C60"/>
    <w:rsid w:val="008E4002"/>
    <w:rsid w:val="008E414F"/>
    <w:rsid w:val="008E72FB"/>
    <w:rsid w:val="008E7DEB"/>
    <w:rsid w:val="008F0011"/>
    <w:rsid w:val="008F01B8"/>
    <w:rsid w:val="008F0F6B"/>
    <w:rsid w:val="008F1015"/>
    <w:rsid w:val="008F2C96"/>
    <w:rsid w:val="008F3A41"/>
    <w:rsid w:val="008F43A3"/>
    <w:rsid w:val="008F442B"/>
    <w:rsid w:val="008F79E1"/>
    <w:rsid w:val="00901CA1"/>
    <w:rsid w:val="009078E1"/>
    <w:rsid w:val="00907954"/>
    <w:rsid w:val="009105E7"/>
    <w:rsid w:val="00910E64"/>
    <w:rsid w:val="009119AD"/>
    <w:rsid w:val="009125EA"/>
    <w:rsid w:val="009135FE"/>
    <w:rsid w:val="00915FFF"/>
    <w:rsid w:val="00920420"/>
    <w:rsid w:val="00923174"/>
    <w:rsid w:val="00923203"/>
    <w:rsid w:val="009238E2"/>
    <w:rsid w:val="00923A8D"/>
    <w:rsid w:val="00923F95"/>
    <w:rsid w:val="00924048"/>
    <w:rsid w:val="0092454B"/>
    <w:rsid w:val="009278B7"/>
    <w:rsid w:val="00930216"/>
    <w:rsid w:val="009303AB"/>
    <w:rsid w:val="00932968"/>
    <w:rsid w:val="00933A60"/>
    <w:rsid w:val="00934C25"/>
    <w:rsid w:val="009372E9"/>
    <w:rsid w:val="00940DF8"/>
    <w:rsid w:val="0094132C"/>
    <w:rsid w:val="009425C0"/>
    <w:rsid w:val="009426E1"/>
    <w:rsid w:val="00945546"/>
    <w:rsid w:val="00946D3D"/>
    <w:rsid w:val="00950B68"/>
    <w:rsid w:val="0095198A"/>
    <w:rsid w:val="0095279B"/>
    <w:rsid w:val="00953A3E"/>
    <w:rsid w:val="00954BB9"/>
    <w:rsid w:val="00954D4E"/>
    <w:rsid w:val="00956566"/>
    <w:rsid w:val="0095780E"/>
    <w:rsid w:val="00957C76"/>
    <w:rsid w:val="00960B01"/>
    <w:rsid w:val="00961436"/>
    <w:rsid w:val="00961BB8"/>
    <w:rsid w:val="00966456"/>
    <w:rsid w:val="0096671B"/>
    <w:rsid w:val="00966785"/>
    <w:rsid w:val="00966CE3"/>
    <w:rsid w:val="0097031F"/>
    <w:rsid w:val="00971DCA"/>
    <w:rsid w:val="00972EE9"/>
    <w:rsid w:val="00973153"/>
    <w:rsid w:val="00973E83"/>
    <w:rsid w:val="009740C8"/>
    <w:rsid w:val="00974249"/>
    <w:rsid w:val="00975390"/>
    <w:rsid w:val="009761AD"/>
    <w:rsid w:val="009765AB"/>
    <w:rsid w:val="0097717F"/>
    <w:rsid w:val="0097750C"/>
    <w:rsid w:val="00981B51"/>
    <w:rsid w:val="00982B4D"/>
    <w:rsid w:val="00983062"/>
    <w:rsid w:val="0098331B"/>
    <w:rsid w:val="009837A9"/>
    <w:rsid w:val="0098380F"/>
    <w:rsid w:val="00984B2B"/>
    <w:rsid w:val="0098656E"/>
    <w:rsid w:val="00986CE3"/>
    <w:rsid w:val="00987245"/>
    <w:rsid w:val="00990339"/>
    <w:rsid w:val="00990412"/>
    <w:rsid w:val="00991452"/>
    <w:rsid w:val="0099170C"/>
    <w:rsid w:val="00991F62"/>
    <w:rsid w:val="009920BF"/>
    <w:rsid w:val="00993E85"/>
    <w:rsid w:val="00995583"/>
    <w:rsid w:val="009973BA"/>
    <w:rsid w:val="009978AA"/>
    <w:rsid w:val="009A02AF"/>
    <w:rsid w:val="009A06AD"/>
    <w:rsid w:val="009A2510"/>
    <w:rsid w:val="009A73D4"/>
    <w:rsid w:val="009B0399"/>
    <w:rsid w:val="009B2534"/>
    <w:rsid w:val="009B5144"/>
    <w:rsid w:val="009B5933"/>
    <w:rsid w:val="009C1877"/>
    <w:rsid w:val="009C2B41"/>
    <w:rsid w:val="009C3800"/>
    <w:rsid w:val="009C3959"/>
    <w:rsid w:val="009C3991"/>
    <w:rsid w:val="009C42DA"/>
    <w:rsid w:val="009C5705"/>
    <w:rsid w:val="009C68ED"/>
    <w:rsid w:val="009C73C3"/>
    <w:rsid w:val="009C7F26"/>
    <w:rsid w:val="009D12F0"/>
    <w:rsid w:val="009D172E"/>
    <w:rsid w:val="009D2037"/>
    <w:rsid w:val="009D2648"/>
    <w:rsid w:val="009D313D"/>
    <w:rsid w:val="009D3656"/>
    <w:rsid w:val="009D42C2"/>
    <w:rsid w:val="009D4987"/>
    <w:rsid w:val="009D51CA"/>
    <w:rsid w:val="009D5D55"/>
    <w:rsid w:val="009D78D1"/>
    <w:rsid w:val="009E0B02"/>
    <w:rsid w:val="009E10C9"/>
    <w:rsid w:val="009E28FB"/>
    <w:rsid w:val="009E34DC"/>
    <w:rsid w:val="009E51E8"/>
    <w:rsid w:val="009E57F2"/>
    <w:rsid w:val="009E5809"/>
    <w:rsid w:val="009E5DCF"/>
    <w:rsid w:val="009E5F89"/>
    <w:rsid w:val="009E64EF"/>
    <w:rsid w:val="009F13DD"/>
    <w:rsid w:val="009F1C3B"/>
    <w:rsid w:val="009F1DA1"/>
    <w:rsid w:val="009F3650"/>
    <w:rsid w:val="009F57D1"/>
    <w:rsid w:val="009F5DDF"/>
    <w:rsid w:val="009F6B4B"/>
    <w:rsid w:val="009F72A6"/>
    <w:rsid w:val="00A00991"/>
    <w:rsid w:val="00A009A2"/>
    <w:rsid w:val="00A01B9A"/>
    <w:rsid w:val="00A046AA"/>
    <w:rsid w:val="00A04A45"/>
    <w:rsid w:val="00A079A1"/>
    <w:rsid w:val="00A07C18"/>
    <w:rsid w:val="00A1088E"/>
    <w:rsid w:val="00A11D3A"/>
    <w:rsid w:val="00A132A8"/>
    <w:rsid w:val="00A13D80"/>
    <w:rsid w:val="00A14137"/>
    <w:rsid w:val="00A15C2D"/>
    <w:rsid w:val="00A21190"/>
    <w:rsid w:val="00A21940"/>
    <w:rsid w:val="00A23137"/>
    <w:rsid w:val="00A25736"/>
    <w:rsid w:val="00A25A9F"/>
    <w:rsid w:val="00A260C0"/>
    <w:rsid w:val="00A2650E"/>
    <w:rsid w:val="00A26557"/>
    <w:rsid w:val="00A26917"/>
    <w:rsid w:val="00A26DF6"/>
    <w:rsid w:val="00A2704D"/>
    <w:rsid w:val="00A27691"/>
    <w:rsid w:val="00A27BDF"/>
    <w:rsid w:val="00A30949"/>
    <w:rsid w:val="00A3294F"/>
    <w:rsid w:val="00A339B6"/>
    <w:rsid w:val="00A34504"/>
    <w:rsid w:val="00A358D6"/>
    <w:rsid w:val="00A366A1"/>
    <w:rsid w:val="00A37D06"/>
    <w:rsid w:val="00A401B1"/>
    <w:rsid w:val="00A42889"/>
    <w:rsid w:val="00A44FE2"/>
    <w:rsid w:val="00A458E7"/>
    <w:rsid w:val="00A504AF"/>
    <w:rsid w:val="00A504BF"/>
    <w:rsid w:val="00A5106C"/>
    <w:rsid w:val="00A514B7"/>
    <w:rsid w:val="00A51C3F"/>
    <w:rsid w:val="00A524F1"/>
    <w:rsid w:val="00A532F3"/>
    <w:rsid w:val="00A5513B"/>
    <w:rsid w:val="00A55493"/>
    <w:rsid w:val="00A57BB8"/>
    <w:rsid w:val="00A60BE6"/>
    <w:rsid w:val="00A631EC"/>
    <w:rsid w:val="00A63605"/>
    <w:rsid w:val="00A63D93"/>
    <w:rsid w:val="00A66AB3"/>
    <w:rsid w:val="00A6704D"/>
    <w:rsid w:val="00A67577"/>
    <w:rsid w:val="00A67704"/>
    <w:rsid w:val="00A67B74"/>
    <w:rsid w:val="00A67C24"/>
    <w:rsid w:val="00A71210"/>
    <w:rsid w:val="00A712AA"/>
    <w:rsid w:val="00A714A6"/>
    <w:rsid w:val="00A717CE"/>
    <w:rsid w:val="00A719C0"/>
    <w:rsid w:val="00A7300F"/>
    <w:rsid w:val="00A73673"/>
    <w:rsid w:val="00A73B50"/>
    <w:rsid w:val="00A73CAD"/>
    <w:rsid w:val="00A76232"/>
    <w:rsid w:val="00A76657"/>
    <w:rsid w:val="00A77DB9"/>
    <w:rsid w:val="00A80BEE"/>
    <w:rsid w:val="00A81198"/>
    <w:rsid w:val="00A818F0"/>
    <w:rsid w:val="00A81921"/>
    <w:rsid w:val="00A81A48"/>
    <w:rsid w:val="00A81ECC"/>
    <w:rsid w:val="00A81FC2"/>
    <w:rsid w:val="00A82D60"/>
    <w:rsid w:val="00A83B3D"/>
    <w:rsid w:val="00A84151"/>
    <w:rsid w:val="00A8525F"/>
    <w:rsid w:val="00A852C8"/>
    <w:rsid w:val="00A85631"/>
    <w:rsid w:val="00A85DF5"/>
    <w:rsid w:val="00A873C8"/>
    <w:rsid w:val="00A90ACA"/>
    <w:rsid w:val="00A90E75"/>
    <w:rsid w:val="00A92B77"/>
    <w:rsid w:val="00A94A69"/>
    <w:rsid w:val="00A96708"/>
    <w:rsid w:val="00A96B2C"/>
    <w:rsid w:val="00A977E5"/>
    <w:rsid w:val="00AA01C8"/>
    <w:rsid w:val="00AA09B6"/>
    <w:rsid w:val="00AA3640"/>
    <w:rsid w:val="00AA509B"/>
    <w:rsid w:val="00AA5AB7"/>
    <w:rsid w:val="00AA5ED8"/>
    <w:rsid w:val="00AA5FBB"/>
    <w:rsid w:val="00AB185F"/>
    <w:rsid w:val="00AB2345"/>
    <w:rsid w:val="00AB3144"/>
    <w:rsid w:val="00AB47C9"/>
    <w:rsid w:val="00AB522D"/>
    <w:rsid w:val="00AB5E97"/>
    <w:rsid w:val="00AB6B5B"/>
    <w:rsid w:val="00AB7818"/>
    <w:rsid w:val="00AB7A60"/>
    <w:rsid w:val="00AB7E4D"/>
    <w:rsid w:val="00AC47EA"/>
    <w:rsid w:val="00AC510B"/>
    <w:rsid w:val="00AC6438"/>
    <w:rsid w:val="00AC6999"/>
    <w:rsid w:val="00AC723D"/>
    <w:rsid w:val="00AC798E"/>
    <w:rsid w:val="00AC7C2B"/>
    <w:rsid w:val="00AD012E"/>
    <w:rsid w:val="00AD01A2"/>
    <w:rsid w:val="00AD1E4A"/>
    <w:rsid w:val="00AD5957"/>
    <w:rsid w:val="00AD5BB6"/>
    <w:rsid w:val="00AD6EC6"/>
    <w:rsid w:val="00AE0270"/>
    <w:rsid w:val="00AE0A43"/>
    <w:rsid w:val="00AE0B89"/>
    <w:rsid w:val="00AE480C"/>
    <w:rsid w:val="00AE5592"/>
    <w:rsid w:val="00AE5737"/>
    <w:rsid w:val="00AF09C3"/>
    <w:rsid w:val="00AF0E51"/>
    <w:rsid w:val="00AF139C"/>
    <w:rsid w:val="00AF267B"/>
    <w:rsid w:val="00AF29D7"/>
    <w:rsid w:val="00AF2CB8"/>
    <w:rsid w:val="00AF3BE2"/>
    <w:rsid w:val="00AF475F"/>
    <w:rsid w:val="00AF6375"/>
    <w:rsid w:val="00AF6773"/>
    <w:rsid w:val="00AF68E3"/>
    <w:rsid w:val="00AF7304"/>
    <w:rsid w:val="00B00629"/>
    <w:rsid w:val="00B0159B"/>
    <w:rsid w:val="00B03A8A"/>
    <w:rsid w:val="00B04ADF"/>
    <w:rsid w:val="00B070D0"/>
    <w:rsid w:val="00B104AA"/>
    <w:rsid w:val="00B10DC5"/>
    <w:rsid w:val="00B14ADA"/>
    <w:rsid w:val="00B14B38"/>
    <w:rsid w:val="00B14D3C"/>
    <w:rsid w:val="00B16229"/>
    <w:rsid w:val="00B167BE"/>
    <w:rsid w:val="00B2243B"/>
    <w:rsid w:val="00B22D3E"/>
    <w:rsid w:val="00B22E6C"/>
    <w:rsid w:val="00B23553"/>
    <w:rsid w:val="00B26279"/>
    <w:rsid w:val="00B27A4B"/>
    <w:rsid w:val="00B27BF3"/>
    <w:rsid w:val="00B31889"/>
    <w:rsid w:val="00B33BA8"/>
    <w:rsid w:val="00B33F87"/>
    <w:rsid w:val="00B3540B"/>
    <w:rsid w:val="00B356B1"/>
    <w:rsid w:val="00B40644"/>
    <w:rsid w:val="00B40C0F"/>
    <w:rsid w:val="00B4126E"/>
    <w:rsid w:val="00B416AC"/>
    <w:rsid w:val="00B4244D"/>
    <w:rsid w:val="00B449CD"/>
    <w:rsid w:val="00B454DC"/>
    <w:rsid w:val="00B50599"/>
    <w:rsid w:val="00B51272"/>
    <w:rsid w:val="00B51276"/>
    <w:rsid w:val="00B52CC9"/>
    <w:rsid w:val="00B52F11"/>
    <w:rsid w:val="00B53B12"/>
    <w:rsid w:val="00B54536"/>
    <w:rsid w:val="00B552F7"/>
    <w:rsid w:val="00B55815"/>
    <w:rsid w:val="00B56495"/>
    <w:rsid w:val="00B565C0"/>
    <w:rsid w:val="00B56EC7"/>
    <w:rsid w:val="00B5700A"/>
    <w:rsid w:val="00B57487"/>
    <w:rsid w:val="00B609CC"/>
    <w:rsid w:val="00B628EA"/>
    <w:rsid w:val="00B63177"/>
    <w:rsid w:val="00B63AEB"/>
    <w:rsid w:val="00B64302"/>
    <w:rsid w:val="00B64C15"/>
    <w:rsid w:val="00B65DB2"/>
    <w:rsid w:val="00B66C5D"/>
    <w:rsid w:val="00B671C8"/>
    <w:rsid w:val="00B67ACB"/>
    <w:rsid w:val="00B70842"/>
    <w:rsid w:val="00B70F3B"/>
    <w:rsid w:val="00B714A6"/>
    <w:rsid w:val="00B71EAD"/>
    <w:rsid w:val="00B72240"/>
    <w:rsid w:val="00B72852"/>
    <w:rsid w:val="00B72B10"/>
    <w:rsid w:val="00B73D40"/>
    <w:rsid w:val="00B7445B"/>
    <w:rsid w:val="00B74891"/>
    <w:rsid w:val="00B749D6"/>
    <w:rsid w:val="00B74F25"/>
    <w:rsid w:val="00B75618"/>
    <w:rsid w:val="00B76540"/>
    <w:rsid w:val="00B77887"/>
    <w:rsid w:val="00B80DAF"/>
    <w:rsid w:val="00B81D6A"/>
    <w:rsid w:val="00B8205E"/>
    <w:rsid w:val="00B846FE"/>
    <w:rsid w:val="00B855DD"/>
    <w:rsid w:val="00B85EDC"/>
    <w:rsid w:val="00B860B6"/>
    <w:rsid w:val="00B86A00"/>
    <w:rsid w:val="00B87AB5"/>
    <w:rsid w:val="00B90E99"/>
    <w:rsid w:val="00B9109E"/>
    <w:rsid w:val="00B93327"/>
    <w:rsid w:val="00B93660"/>
    <w:rsid w:val="00B94234"/>
    <w:rsid w:val="00B943EF"/>
    <w:rsid w:val="00B94DA6"/>
    <w:rsid w:val="00B95192"/>
    <w:rsid w:val="00B963DF"/>
    <w:rsid w:val="00B96500"/>
    <w:rsid w:val="00B96C79"/>
    <w:rsid w:val="00B97561"/>
    <w:rsid w:val="00B97843"/>
    <w:rsid w:val="00B979B1"/>
    <w:rsid w:val="00BA2180"/>
    <w:rsid w:val="00BA24A8"/>
    <w:rsid w:val="00BA2B69"/>
    <w:rsid w:val="00BA3DA7"/>
    <w:rsid w:val="00BA4398"/>
    <w:rsid w:val="00BA492C"/>
    <w:rsid w:val="00BA5DA2"/>
    <w:rsid w:val="00BA76BD"/>
    <w:rsid w:val="00BA7C4B"/>
    <w:rsid w:val="00BB248C"/>
    <w:rsid w:val="00BB2C04"/>
    <w:rsid w:val="00BB46FF"/>
    <w:rsid w:val="00BB49CC"/>
    <w:rsid w:val="00BB4F15"/>
    <w:rsid w:val="00BB5581"/>
    <w:rsid w:val="00BB619E"/>
    <w:rsid w:val="00BB6613"/>
    <w:rsid w:val="00BB6E7C"/>
    <w:rsid w:val="00BB7FE7"/>
    <w:rsid w:val="00BC0236"/>
    <w:rsid w:val="00BC0474"/>
    <w:rsid w:val="00BC18F8"/>
    <w:rsid w:val="00BC4816"/>
    <w:rsid w:val="00BC5896"/>
    <w:rsid w:val="00BC5FBE"/>
    <w:rsid w:val="00BC6112"/>
    <w:rsid w:val="00BC64CC"/>
    <w:rsid w:val="00BD0491"/>
    <w:rsid w:val="00BD058A"/>
    <w:rsid w:val="00BD23FA"/>
    <w:rsid w:val="00BD2605"/>
    <w:rsid w:val="00BD2780"/>
    <w:rsid w:val="00BD2809"/>
    <w:rsid w:val="00BD2A8E"/>
    <w:rsid w:val="00BD3FEA"/>
    <w:rsid w:val="00BD62BC"/>
    <w:rsid w:val="00BD7067"/>
    <w:rsid w:val="00BD7137"/>
    <w:rsid w:val="00BE2822"/>
    <w:rsid w:val="00BE3CE9"/>
    <w:rsid w:val="00BE3F0B"/>
    <w:rsid w:val="00BE4F90"/>
    <w:rsid w:val="00BE608B"/>
    <w:rsid w:val="00BE67B1"/>
    <w:rsid w:val="00BE67E5"/>
    <w:rsid w:val="00BE6B0D"/>
    <w:rsid w:val="00BE725B"/>
    <w:rsid w:val="00BF00F1"/>
    <w:rsid w:val="00BF0988"/>
    <w:rsid w:val="00BF0BBA"/>
    <w:rsid w:val="00BF1A02"/>
    <w:rsid w:val="00BF2255"/>
    <w:rsid w:val="00BF22BF"/>
    <w:rsid w:val="00BF3062"/>
    <w:rsid w:val="00BF3148"/>
    <w:rsid w:val="00BF412B"/>
    <w:rsid w:val="00BF60CC"/>
    <w:rsid w:val="00BF6392"/>
    <w:rsid w:val="00BF7A45"/>
    <w:rsid w:val="00C013E2"/>
    <w:rsid w:val="00C01780"/>
    <w:rsid w:val="00C02E2B"/>
    <w:rsid w:val="00C05292"/>
    <w:rsid w:val="00C057BA"/>
    <w:rsid w:val="00C062AF"/>
    <w:rsid w:val="00C06425"/>
    <w:rsid w:val="00C073F4"/>
    <w:rsid w:val="00C0745E"/>
    <w:rsid w:val="00C1128C"/>
    <w:rsid w:val="00C13CB9"/>
    <w:rsid w:val="00C13D58"/>
    <w:rsid w:val="00C15144"/>
    <w:rsid w:val="00C17DE8"/>
    <w:rsid w:val="00C21BDC"/>
    <w:rsid w:val="00C21C6E"/>
    <w:rsid w:val="00C21F9E"/>
    <w:rsid w:val="00C225A1"/>
    <w:rsid w:val="00C26146"/>
    <w:rsid w:val="00C27B73"/>
    <w:rsid w:val="00C3002A"/>
    <w:rsid w:val="00C30AAA"/>
    <w:rsid w:val="00C30B5A"/>
    <w:rsid w:val="00C316AD"/>
    <w:rsid w:val="00C318C6"/>
    <w:rsid w:val="00C319D5"/>
    <w:rsid w:val="00C31F79"/>
    <w:rsid w:val="00C3593E"/>
    <w:rsid w:val="00C35E49"/>
    <w:rsid w:val="00C36B14"/>
    <w:rsid w:val="00C36F92"/>
    <w:rsid w:val="00C37513"/>
    <w:rsid w:val="00C40B47"/>
    <w:rsid w:val="00C40EDC"/>
    <w:rsid w:val="00C410D6"/>
    <w:rsid w:val="00C41801"/>
    <w:rsid w:val="00C42777"/>
    <w:rsid w:val="00C42ADF"/>
    <w:rsid w:val="00C43BDA"/>
    <w:rsid w:val="00C4593C"/>
    <w:rsid w:val="00C45C9A"/>
    <w:rsid w:val="00C460A5"/>
    <w:rsid w:val="00C47ABE"/>
    <w:rsid w:val="00C47BD2"/>
    <w:rsid w:val="00C47D7D"/>
    <w:rsid w:val="00C5092F"/>
    <w:rsid w:val="00C50FBF"/>
    <w:rsid w:val="00C53E6D"/>
    <w:rsid w:val="00C54431"/>
    <w:rsid w:val="00C546E2"/>
    <w:rsid w:val="00C55AE6"/>
    <w:rsid w:val="00C56A7A"/>
    <w:rsid w:val="00C6137D"/>
    <w:rsid w:val="00C6332E"/>
    <w:rsid w:val="00C64257"/>
    <w:rsid w:val="00C651CB"/>
    <w:rsid w:val="00C6697E"/>
    <w:rsid w:val="00C67260"/>
    <w:rsid w:val="00C67E42"/>
    <w:rsid w:val="00C70BB9"/>
    <w:rsid w:val="00C70EC7"/>
    <w:rsid w:val="00C70FEA"/>
    <w:rsid w:val="00C717DF"/>
    <w:rsid w:val="00C72123"/>
    <w:rsid w:val="00C721BD"/>
    <w:rsid w:val="00C723A7"/>
    <w:rsid w:val="00C72A89"/>
    <w:rsid w:val="00C7409D"/>
    <w:rsid w:val="00C750DE"/>
    <w:rsid w:val="00C75693"/>
    <w:rsid w:val="00C75F76"/>
    <w:rsid w:val="00C75FD7"/>
    <w:rsid w:val="00C801AC"/>
    <w:rsid w:val="00C8301B"/>
    <w:rsid w:val="00C83504"/>
    <w:rsid w:val="00C83562"/>
    <w:rsid w:val="00C83B58"/>
    <w:rsid w:val="00C83E15"/>
    <w:rsid w:val="00C86EDE"/>
    <w:rsid w:val="00C87211"/>
    <w:rsid w:val="00C87C6C"/>
    <w:rsid w:val="00C917F4"/>
    <w:rsid w:val="00C91F8F"/>
    <w:rsid w:val="00C92C92"/>
    <w:rsid w:val="00C93656"/>
    <w:rsid w:val="00C94BEA"/>
    <w:rsid w:val="00C94CF5"/>
    <w:rsid w:val="00C94E43"/>
    <w:rsid w:val="00C94F60"/>
    <w:rsid w:val="00C9558B"/>
    <w:rsid w:val="00C96D9A"/>
    <w:rsid w:val="00C974F2"/>
    <w:rsid w:val="00C97779"/>
    <w:rsid w:val="00C97A09"/>
    <w:rsid w:val="00CA001F"/>
    <w:rsid w:val="00CA017B"/>
    <w:rsid w:val="00CA2040"/>
    <w:rsid w:val="00CA2C33"/>
    <w:rsid w:val="00CA3FB3"/>
    <w:rsid w:val="00CA4414"/>
    <w:rsid w:val="00CA47CF"/>
    <w:rsid w:val="00CA54E6"/>
    <w:rsid w:val="00CA56E2"/>
    <w:rsid w:val="00CA61EC"/>
    <w:rsid w:val="00CA6EE1"/>
    <w:rsid w:val="00CA7633"/>
    <w:rsid w:val="00CB35C4"/>
    <w:rsid w:val="00CB5598"/>
    <w:rsid w:val="00CB5E93"/>
    <w:rsid w:val="00CB6626"/>
    <w:rsid w:val="00CB6AAD"/>
    <w:rsid w:val="00CC1F80"/>
    <w:rsid w:val="00CC57B6"/>
    <w:rsid w:val="00CD0CD3"/>
    <w:rsid w:val="00CD1822"/>
    <w:rsid w:val="00CD1A65"/>
    <w:rsid w:val="00CD1CAE"/>
    <w:rsid w:val="00CD2C87"/>
    <w:rsid w:val="00CD3FDA"/>
    <w:rsid w:val="00CD46AB"/>
    <w:rsid w:val="00CD5E96"/>
    <w:rsid w:val="00CD6A81"/>
    <w:rsid w:val="00CD779B"/>
    <w:rsid w:val="00CD7CE9"/>
    <w:rsid w:val="00CE0B45"/>
    <w:rsid w:val="00CE1244"/>
    <w:rsid w:val="00CE134F"/>
    <w:rsid w:val="00CE29B7"/>
    <w:rsid w:val="00CE2EC6"/>
    <w:rsid w:val="00CE2EFC"/>
    <w:rsid w:val="00CE53C6"/>
    <w:rsid w:val="00CE775D"/>
    <w:rsid w:val="00CF0B36"/>
    <w:rsid w:val="00CF0FE1"/>
    <w:rsid w:val="00CF1264"/>
    <w:rsid w:val="00CF145A"/>
    <w:rsid w:val="00CF191D"/>
    <w:rsid w:val="00CF1D31"/>
    <w:rsid w:val="00CF28CC"/>
    <w:rsid w:val="00CF3111"/>
    <w:rsid w:val="00CF4314"/>
    <w:rsid w:val="00CF5344"/>
    <w:rsid w:val="00CF67FB"/>
    <w:rsid w:val="00CF72E9"/>
    <w:rsid w:val="00D00DB7"/>
    <w:rsid w:val="00D01A33"/>
    <w:rsid w:val="00D02F9E"/>
    <w:rsid w:val="00D035B8"/>
    <w:rsid w:val="00D04BA4"/>
    <w:rsid w:val="00D05022"/>
    <w:rsid w:val="00D05B37"/>
    <w:rsid w:val="00D0692A"/>
    <w:rsid w:val="00D06C2E"/>
    <w:rsid w:val="00D06ED1"/>
    <w:rsid w:val="00D074E0"/>
    <w:rsid w:val="00D135F7"/>
    <w:rsid w:val="00D14A95"/>
    <w:rsid w:val="00D20647"/>
    <w:rsid w:val="00D21735"/>
    <w:rsid w:val="00D2269C"/>
    <w:rsid w:val="00D24FF6"/>
    <w:rsid w:val="00D25505"/>
    <w:rsid w:val="00D26F88"/>
    <w:rsid w:val="00D27D10"/>
    <w:rsid w:val="00D304BD"/>
    <w:rsid w:val="00D30E3D"/>
    <w:rsid w:val="00D317DD"/>
    <w:rsid w:val="00D34F90"/>
    <w:rsid w:val="00D3549E"/>
    <w:rsid w:val="00D354C9"/>
    <w:rsid w:val="00D36D7B"/>
    <w:rsid w:val="00D36EF1"/>
    <w:rsid w:val="00D37DA1"/>
    <w:rsid w:val="00D40640"/>
    <w:rsid w:val="00D40C12"/>
    <w:rsid w:val="00D40D93"/>
    <w:rsid w:val="00D4105B"/>
    <w:rsid w:val="00D414E2"/>
    <w:rsid w:val="00D41BCE"/>
    <w:rsid w:val="00D41CB1"/>
    <w:rsid w:val="00D44E64"/>
    <w:rsid w:val="00D45329"/>
    <w:rsid w:val="00D457CD"/>
    <w:rsid w:val="00D46B0A"/>
    <w:rsid w:val="00D46F39"/>
    <w:rsid w:val="00D507EB"/>
    <w:rsid w:val="00D50A2B"/>
    <w:rsid w:val="00D526F2"/>
    <w:rsid w:val="00D5382B"/>
    <w:rsid w:val="00D54AF2"/>
    <w:rsid w:val="00D54B59"/>
    <w:rsid w:val="00D54D45"/>
    <w:rsid w:val="00D56A3A"/>
    <w:rsid w:val="00D607B4"/>
    <w:rsid w:val="00D60F4E"/>
    <w:rsid w:val="00D61449"/>
    <w:rsid w:val="00D63793"/>
    <w:rsid w:val="00D64588"/>
    <w:rsid w:val="00D648AA"/>
    <w:rsid w:val="00D64F45"/>
    <w:rsid w:val="00D666C4"/>
    <w:rsid w:val="00D667FE"/>
    <w:rsid w:val="00D67F47"/>
    <w:rsid w:val="00D67F54"/>
    <w:rsid w:val="00D7005D"/>
    <w:rsid w:val="00D706AE"/>
    <w:rsid w:val="00D72849"/>
    <w:rsid w:val="00D72E5A"/>
    <w:rsid w:val="00D7304B"/>
    <w:rsid w:val="00D730C1"/>
    <w:rsid w:val="00D73BEA"/>
    <w:rsid w:val="00D73FD8"/>
    <w:rsid w:val="00D7646F"/>
    <w:rsid w:val="00D7655D"/>
    <w:rsid w:val="00D76601"/>
    <w:rsid w:val="00D8120C"/>
    <w:rsid w:val="00D8228D"/>
    <w:rsid w:val="00D85055"/>
    <w:rsid w:val="00D854E2"/>
    <w:rsid w:val="00D90394"/>
    <w:rsid w:val="00D90D22"/>
    <w:rsid w:val="00D91781"/>
    <w:rsid w:val="00D93564"/>
    <w:rsid w:val="00D93932"/>
    <w:rsid w:val="00D95649"/>
    <w:rsid w:val="00D96A44"/>
    <w:rsid w:val="00DA04E3"/>
    <w:rsid w:val="00DA11FB"/>
    <w:rsid w:val="00DA234B"/>
    <w:rsid w:val="00DA25B7"/>
    <w:rsid w:val="00DA328C"/>
    <w:rsid w:val="00DA560A"/>
    <w:rsid w:val="00DA6091"/>
    <w:rsid w:val="00DA6329"/>
    <w:rsid w:val="00DA7488"/>
    <w:rsid w:val="00DB1109"/>
    <w:rsid w:val="00DB12B5"/>
    <w:rsid w:val="00DB1706"/>
    <w:rsid w:val="00DB20A7"/>
    <w:rsid w:val="00DB2967"/>
    <w:rsid w:val="00DB298F"/>
    <w:rsid w:val="00DB2DB0"/>
    <w:rsid w:val="00DB653A"/>
    <w:rsid w:val="00DB7040"/>
    <w:rsid w:val="00DB7B1D"/>
    <w:rsid w:val="00DB7D18"/>
    <w:rsid w:val="00DB7F75"/>
    <w:rsid w:val="00DC0301"/>
    <w:rsid w:val="00DC0EBD"/>
    <w:rsid w:val="00DC1512"/>
    <w:rsid w:val="00DC56BC"/>
    <w:rsid w:val="00DC60BB"/>
    <w:rsid w:val="00DC64D9"/>
    <w:rsid w:val="00DC6856"/>
    <w:rsid w:val="00DC6F35"/>
    <w:rsid w:val="00DC733A"/>
    <w:rsid w:val="00DD2F9F"/>
    <w:rsid w:val="00DD325F"/>
    <w:rsid w:val="00DD4D7E"/>
    <w:rsid w:val="00DD6897"/>
    <w:rsid w:val="00DD793E"/>
    <w:rsid w:val="00DD7F75"/>
    <w:rsid w:val="00DE0153"/>
    <w:rsid w:val="00DE01A4"/>
    <w:rsid w:val="00DE0FC0"/>
    <w:rsid w:val="00DE106F"/>
    <w:rsid w:val="00DE13E7"/>
    <w:rsid w:val="00DE1C12"/>
    <w:rsid w:val="00DE1FD5"/>
    <w:rsid w:val="00DE1FF3"/>
    <w:rsid w:val="00DE24BB"/>
    <w:rsid w:val="00DE28BA"/>
    <w:rsid w:val="00DE3F97"/>
    <w:rsid w:val="00DE5866"/>
    <w:rsid w:val="00DE6172"/>
    <w:rsid w:val="00DE6925"/>
    <w:rsid w:val="00DE7238"/>
    <w:rsid w:val="00DE7E7A"/>
    <w:rsid w:val="00DF1D64"/>
    <w:rsid w:val="00DF23C6"/>
    <w:rsid w:val="00DF4093"/>
    <w:rsid w:val="00DF45D3"/>
    <w:rsid w:val="00DF472E"/>
    <w:rsid w:val="00DF484A"/>
    <w:rsid w:val="00DF4D25"/>
    <w:rsid w:val="00DF5559"/>
    <w:rsid w:val="00DF7326"/>
    <w:rsid w:val="00E00235"/>
    <w:rsid w:val="00E01EB8"/>
    <w:rsid w:val="00E02BB6"/>
    <w:rsid w:val="00E02EF4"/>
    <w:rsid w:val="00E04505"/>
    <w:rsid w:val="00E05A8C"/>
    <w:rsid w:val="00E069AD"/>
    <w:rsid w:val="00E07206"/>
    <w:rsid w:val="00E07D93"/>
    <w:rsid w:val="00E10757"/>
    <w:rsid w:val="00E109D5"/>
    <w:rsid w:val="00E110D4"/>
    <w:rsid w:val="00E114CE"/>
    <w:rsid w:val="00E12BFD"/>
    <w:rsid w:val="00E13552"/>
    <w:rsid w:val="00E136D3"/>
    <w:rsid w:val="00E14BD2"/>
    <w:rsid w:val="00E14D1A"/>
    <w:rsid w:val="00E15895"/>
    <w:rsid w:val="00E169C9"/>
    <w:rsid w:val="00E16F86"/>
    <w:rsid w:val="00E173BB"/>
    <w:rsid w:val="00E173CC"/>
    <w:rsid w:val="00E20769"/>
    <w:rsid w:val="00E24B8F"/>
    <w:rsid w:val="00E24ED4"/>
    <w:rsid w:val="00E25FB8"/>
    <w:rsid w:val="00E275BA"/>
    <w:rsid w:val="00E30151"/>
    <w:rsid w:val="00E301C2"/>
    <w:rsid w:val="00E3096B"/>
    <w:rsid w:val="00E3399D"/>
    <w:rsid w:val="00E34606"/>
    <w:rsid w:val="00E34941"/>
    <w:rsid w:val="00E350A3"/>
    <w:rsid w:val="00E357C0"/>
    <w:rsid w:val="00E36A2E"/>
    <w:rsid w:val="00E4126C"/>
    <w:rsid w:val="00E425F8"/>
    <w:rsid w:val="00E44E11"/>
    <w:rsid w:val="00E473C3"/>
    <w:rsid w:val="00E4758E"/>
    <w:rsid w:val="00E51CCC"/>
    <w:rsid w:val="00E51CE0"/>
    <w:rsid w:val="00E5264A"/>
    <w:rsid w:val="00E546EC"/>
    <w:rsid w:val="00E570D9"/>
    <w:rsid w:val="00E579E6"/>
    <w:rsid w:val="00E610FB"/>
    <w:rsid w:val="00E62737"/>
    <w:rsid w:val="00E62AA8"/>
    <w:rsid w:val="00E62EF5"/>
    <w:rsid w:val="00E63BBE"/>
    <w:rsid w:val="00E66830"/>
    <w:rsid w:val="00E6786D"/>
    <w:rsid w:val="00E70570"/>
    <w:rsid w:val="00E70E81"/>
    <w:rsid w:val="00E71CE3"/>
    <w:rsid w:val="00E73E14"/>
    <w:rsid w:val="00E775B2"/>
    <w:rsid w:val="00E813B2"/>
    <w:rsid w:val="00E83D4C"/>
    <w:rsid w:val="00E84D9C"/>
    <w:rsid w:val="00E864BA"/>
    <w:rsid w:val="00E86BBC"/>
    <w:rsid w:val="00E87F74"/>
    <w:rsid w:val="00E901BB"/>
    <w:rsid w:val="00E913D1"/>
    <w:rsid w:val="00E915D0"/>
    <w:rsid w:val="00E931F3"/>
    <w:rsid w:val="00E9352E"/>
    <w:rsid w:val="00E93AC7"/>
    <w:rsid w:val="00E93D48"/>
    <w:rsid w:val="00E93E21"/>
    <w:rsid w:val="00E94209"/>
    <w:rsid w:val="00E94581"/>
    <w:rsid w:val="00E94FCE"/>
    <w:rsid w:val="00E96638"/>
    <w:rsid w:val="00E96D59"/>
    <w:rsid w:val="00E97125"/>
    <w:rsid w:val="00E97D9D"/>
    <w:rsid w:val="00EA03C8"/>
    <w:rsid w:val="00EA25C0"/>
    <w:rsid w:val="00EA3387"/>
    <w:rsid w:val="00EA34A5"/>
    <w:rsid w:val="00EA3DCA"/>
    <w:rsid w:val="00EA60FB"/>
    <w:rsid w:val="00EA62CF"/>
    <w:rsid w:val="00EA654E"/>
    <w:rsid w:val="00EA6AD0"/>
    <w:rsid w:val="00EA6CA4"/>
    <w:rsid w:val="00EA7471"/>
    <w:rsid w:val="00EB026C"/>
    <w:rsid w:val="00EB0F73"/>
    <w:rsid w:val="00EB1DE0"/>
    <w:rsid w:val="00EB2017"/>
    <w:rsid w:val="00EB3C1C"/>
    <w:rsid w:val="00EB3F99"/>
    <w:rsid w:val="00EB4807"/>
    <w:rsid w:val="00EB53DF"/>
    <w:rsid w:val="00EB5970"/>
    <w:rsid w:val="00EB5F78"/>
    <w:rsid w:val="00EB738A"/>
    <w:rsid w:val="00EB7D88"/>
    <w:rsid w:val="00EC42AE"/>
    <w:rsid w:val="00EC470D"/>
    <w:rsid w:val="00EC563E"/>
    <w:rsid w:val="00EC75A2"/>
    <w:rsid w:val="00EC76A8"/>
    <w:rsid w:val="00ED07FA"/>
    <w:rsid w:val="00ED3E64"/>
    <w:rsid w:val="00ED5009"/>
    <w:rsid w:val="00ED530F"/>
    <w:rsid w:val="00ED5341"/>
    <w:rsid w:val="00ED5AF2"/>
    <w:rsid w:val="00ED5D89"/>
    <w:rsid w:val="00EE0CDE"/>
    <w:rsid w:val="00EE24D6"/>
    <w:rsid w:val="00EE3034"/>
    <w:rsid w:val="00EE363F"/>
    <w:rsid w:val="00EE413C"/>
    <w:rsid w:val="00EE5537"/>
    <w:rsid w:val="00EE586A"/>
    <w:rsid w:val="00EE734B"/>
    <w:rsid w:val="00EE74E7"/>
    <w:rsid w:val="00EE78E9"/>
    <w:rsid w:val="00EE7A77"/>
    <w:rsid w:val="00EF0A83"/>
    <w:rsid w:val="00EF0DFB"/>
    <w:rsid w:val="00EF0F7C"/>
    <w:rsid w:val="00EF23BE"/>
    <w:rsid w:val="00EF3352"/>
    <w:rsid w:val="00EF4599"/>
    <w:rsid w:val="00F0269F"/>
    <w:rsid w:val="00F036A4"/>
    <w:rsid w:val="00F04C33"/>
    <w:rsid w:val="00F05DA8"/>
    <w:rsid w:val="00F13390"/>
    <w:rsid w:val="00F147C3"/>
    <w:rsid w:val="00F14F30"/>
    <w:rsid w:val="00F153C8"/>
    <w:rsid w:val="00F15BD8"/>
    <w:rsid w:val="00F15D07"/>
    <w:rsid w:val="00F1734A"/>
    <w:rsid w:val="00F212D8"/>
    <w:rsid w:val="00F220A9"/>
    <w:rsid w:val="00F22FD2"/>
    <w:rsid w:val="00F2325F"/>
    <w:rsid w:val="00F2435E"/>
    <w:rsid w:val="00F244AC"/>
    <w:rsid w:val="00F24F4A"/>
    <w:rsid w:val="00F266BB"/>
    <w:rsid w:val="00F266F4"/>
    <w:rsid w:val="00F27A6A"/>
    <w:rsid w:val="00F30A3E"/>
    <w:rsid w:val="00F3224A"/>
    <w:rsid w:val="00F328B0"/>
    <w:rsid w:val="00F33153"/>
    <w:rsid w:val="00F337B3"/>
    <w:rsid w:val="00F33ABF"/>
    <w:rsid w:val="00F33C8C"/>
    <w:rsid w:val="00F346CA"/>
    <w:rsid w:val="00F347BD"/>
    <w:rsid w:val="00F34E7A"/>
    <w:rsid w:val="00F35069"/>
    <w:rsid w:val="00F366DA"/>
    <w:rsid w:val="00F36CB1"/>
    <w:rsid w:val="00F37E6A"/>
    <w:rsid w:val="00F402AF"/>
    <w:rsid w:val="00F40953"/>
    <w:rsid w:val="00F40C7A"/>
    <w:rsid w:val="00F41268"/>
    <w:rsid w:val="00F41431"/>
    <w:rsid w:val="00F41A35"/>
    <w:rsid w:val="00F43552"/>
    <w:rsid w:val="00F437E9"/>
    <w:rsid w:val="00F4624A"/>
    <w:rsid w:val="00F463FD"/>
    <w:rsid w:val="00F46ACB"/>
    <w:rsid w:val="00F51EA4"/>
    <w:rsid w:val="00F532B0"/>
    <w:rsid w:val="00F53AB2"/>
    <w:rsid w:val="00F540F0"/>
    <w:rsid w:val="00F545EB"/>
    <w:rsid w:val="00F55037"/>
    <w:rsid w:val="00F5510F"/>
    <w:rsid w:val="00F5541B"/>
    <w:rsid w:val="00F57DC1"/>
    <w:rsid w:val="00F6262B"/>
    <w:rsid w:val="00F62745"/>
    <w:rsid w:val="00F63C07"/>
    <w:rsid w:val="00F65316"/>
    <w:rsid w:val="00F65B36"/>
    <w:rsid w:val="00F66993"/>
    <w:rsid w:val="00F66ABB"/>
    <w:rsid w:val="00F66BB6"/>
    <w:rsid w:val="00F72720"/>
    <w:rsid w:val="00F72D5F"/>
    <w:rsid w:val="00F72F22"/>
    <w:rsid w:val="00F73C98"/>
    <w:rsid w:val="00F74065"/>
    <w:rsid w:val="00F75EBD"/>
    <w:rsid w:val="00F77111"/>
    <w:rsid w:val="00F771E8"/>
    <w:rsid w:val="00F8029D"/>
    <w:rsid w:val="00F81A4A"/>
    <w:rsid w:val="00F826CE"/>
    <w:rsid w:val="00F834D9"/>
    <w:rsid w:val="00F85496"/>
    <w:rsid w:val="00F8579F"/>
    <w:rsid w:val="00F872F4"/>
    <w:rsid w:val="00F87F8F"/>
    <w:rsid w:val="00F901CA"/>
    <w:rsid w:val="00F90BC7"/>
    <w:rsid w:val="00F918AD"/>
    <w:rsid w:val="00F931AC"/>
    <w:rsid w:val="00F936D6"/>
    <w:rsid w:val="00F946AE"/>
    <w:rsid w:val="00F952FB"/>
    <w:rsid w:val="00F95304"/>
    <w:rsid w:val="00F95E35"/>
    <w:rsid w:val="00F96266"/>
    <w:rsid w:val="00F96D6B"/>
    <w:rsid w:val="00F97702"/>
    <w:rsid w:val="00F97A0D"/>
    <w:rsid w:val="00FA019D"/>
    <w:rsid w:val="00FA1027"/>
    <w:rsid w:val="00FA1276"/>
    <w:rsid w:val="00FA1FF0"/>
    <w:rsid w:val="00FA2A5C"/>
    <w:rsid w:val="00FA3340"/>
    <w:rsid w:val="00FA4F51"/>
    <w:rsid w:val="00FA6013"/>
    <w:rsid w:val="00FA6313"/>
    <w:rsid w:val="00FB11E1"/>
    <w:rsid w:val="00FB1B61"/>
    <w:rsid w:val="00FB2BF5"/>
    <w:rsid w:val="00FB38DE"/>
    <w:rsid w:val="00FB47CF"/>
    <w:rsid w:val="00FB4A64"/>
    <w:rsid w:val="00FB67C9"/>
    <w:rsid w:val="00FB716D"/>
    <w:rsid w:val="00FB75C8"/>
    <w:rsid w:val="00FC0083"/>
    <w:rsid w:val="00FC1090"/>
    <w:rsid w:val="00FC1300"/>
    <w:rsid w:val="00FC22DA"/>
    <w:rsid w:val="00FC2C98"/>
    <w:rsid w:val="00FC302B"/>
    <w:rsid w:val="00FC39B6"/>
    <w:rsid w:val="00FC3B43"/>
    <w:rsid w:val="00FC4296"/>
    <w:rsid w:val="00FC43CB"/>
    <w:rsid w:val="00FC4AE7"/>
    <w:rsid w:val="00FC6066"/>
    <w:rsid w:val="00FD0024"/>
    <w:rsid w:val="00FD12D4"/>
    <w:rsid w:val="00FD1F3F"/>
    <w:rsid w:val="00FD206F"/>
    <w:rsid w:val="00FD2966"/>
    <w:rsid w:val="00FD418E"/>
    <w:rsid w:val="00FD4B72"/>
    <w:rsid w:val="00FD5656"/>
    <w:rsid w:val="00FD5E2B"/>
    <w:rsid w:val="00FD6DDF"/>
    <w:rsid w:val="00FD70C9"/>
    <w:rsid w:val="00FE0691"/>
    <w:rsid w:val="00FE0DC6"/>
    <w:rsid w:val="00FE1E01"/>
    <w:rsid w:val="00FE419E"/>
    <w:rsid w:val="00FE42FC"/>
    <w:rsid w:val="00FE5873"/>
    <w:rsid w:val="00FE6AB0"/>
    <w:rsid w:val="00FF0574"/>
    <w:rsid w:val="00FF1BB0"/>
    <w:rsid w:val="00FF3425"/>
    <w:rsid w:val="00FF3477"/>
    <w:rsid w:val="00FF5D68"/>
    <w:rsid w:val="00FF5E5D"/>
    <w:rsid w:val="00FF72DD"/>
    <w:rsid w:val="00FF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 fill="f" fillcolor="white" stroke="f">
      <v:fill color="white" on="f"/>
      <v:stroke on="f"/>
    </o:shapedefaults>
    <o:shapelayout v:ext="edit">
      <o:idmap v:ext="edit" data="1"/>
    </o:shapelayout>
  </w:shapeDefaults>
  <w:decimalSymbol w:val="."/>
  <w:listSeparator w:val=","/>
  <w14:docId w14:val="6A66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2AE"/>
    <w:pPr>
      <w:widowControl w:val="0"/>
      <w:autoSpaceDE w:val="0"/>
      <w:autoSpaceDN w:val="0"/>
      <w:adjustRightInd w:val="0"/>
    </w:pPr>
    <w:rPr>
      <w:sz w:val="24"/>
      <w:szCs w:val="24"/>
    </w:rPr>
  </w:style>
  <w:style w:type="paragraph" w:styleId="Heading1">
    <w:name w:val="heading 1"/>
    <w:basedOn w:val="Normal"/>
    <w:next w:val="Normal"/>
    <w:qFormat/>
    <w:rsid w:val="004247F8"/>
    <w:pPr>
      <w:keepNext/>
      <w:tabs>
        <w:tab w:val="left" w:pos="-1080"/>
        <w:tab w:val="left" w:pos="-720"/>
        <w:tab w:val="left" w:pos="1170"/>
        <w:tab w:val="left" w:pos="2880"/>
        <w:tab w:val="left" w:pos="3600"/>
        <w:tab w:val="left" w:pos="4320"/>
        <w:tab w:val="left" w:pos="5040"/>
        <w:tab w:val="left" w:pos="5760"/>
        <w:tab w:val="left" w:pos="6480"/>
        <w:tab w:val="left" w:pos="7200"/>
        <w:tab w:val="left" w:pos="7920"/>
        <w:tab w:val="left" w:pos="8640"/>
        <w:tab w:val="left" w:pos="9360"/>
      </w:tabs>
      <w:outlineLvl w:val="0"/>
    </w:pPr>
    <w:rPr>
      <w:u w:val="single"/>
    </w:rPr>
  </w:style>
  <w:style w:type="paragraph" w:styleId="Heading2">
    <w:name w:val="heading 2"/>
    <w:basedOn w:val="Normal"/>
    <w:next w:val="Normal"/>
    <w:link w:val="Heading2Char"/>
    <w:qFormat/>
    <w:rsid w:val="004247F8"/>
    <w:pPr>
      <w:keepNext/>
      <w:tabs>
        <w:tab w:val="left" w:pos="-1080"/>
        <w:tab w:val="left" w:pos="-720"/>
        <w:tab w:val="left" w:pos="360"/>
        <w:tab w:val="left" w:pos="1170"/>
        <w:tab w:val="left" w:pos="2880"/>
        <w:tab w:val="left" w:pos="3600"/>
        <w:tab w:val="left" w:pos="4320"/>
        <w:tab w:val="left" w:pos="5040"/>
        <w:tab w:val="left" w:pos="5760"/>
        <w:tab w:val="left" w:pos="6480"/>
        <w:tab w:val="left" w:pos="7200"/>
        <w:tab w:val="left" w:pos="7920"/>
        <w:tab w:val="left" w:pos="8640"/>
        <w:tab w:val="left" w:pos="9360"/>
      </w:tabs>
      <w:ind w:left="720"/>
      <w:outlineLvl w:val="1"/>
    </w:pPr>
    <w:rPr>
      <w:strike/>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247F8"/>
  </w:style>
  <w:style w:type="paragraph" w:customStyle="1" w:styleId="Level1">
    <w:name w:val="Level 1"/>
    <w:basedOn w:val="Normal"/>
    <w:rsid w:val="004247F8"/>
    <w:pPr>
      <w:numPr>
        <w:numId w:val="2"/>
      </w:numPr>
      <w:ind w:left="450" w:hanging="450"/>
      <w:outlineLvl w:val="0"/>
    </w:pPr>
  </w:style>
  <w:style w:type="paragraph" w:customStyle="1" w:styleId="Level2">
    <w:name w:val="Level 2"/>
    <w:basedOn w:val="Normal"/>
    <w:rsid w:val="004247F8"/>
    <w:pPr>
      <w:numPr>
        <w:ilvl w:val="1"/>
        <w:numId w:val="3"/>
      </w:numPr>
      <w:ind w:left="810" w:hanging="360"/>
      <w:outlineLvl w:val="1"/>
    </w:pPr>
  </w:style>
  <w:style w:type="paragraph" w:styleId="Header">
    <w:name w:val="header"/>
    <w:basedOn w:val="Normal"/>
    <w:rsid w:val="004247F8"/>
    <w:pPr>
      <w:tabs>
        <w:tab w:val="center" w:pos="4320"/>
        <w:tab w:val="right" w:pos="8640"/>
      </w:tabs>
    </w:pPr>
  </w:style>
  <w:style w:type="paragraph" w:styleId="Footer">
    <w:name w:val="footer"/>
    <w:basedOn w:val="Normal"/>
    <w:link w:val="FooterChar"/>
    <w:uiPriority w:val="99"/>
    <w:rsid w:val="004247F8"/>
    <w:pPr>
      <w:tabs>
        <w:tab w:val="center" w:pos="4320"/>
        <w:tab w:val="right" w:pos="8640"/>
      </w:tabs>
    </w:pPr>
  </w:style>
  <w:style w:type="character" w:styleId="PageNumber">
    <w:name w:val="page number"/>
    <w:basedOn w:val="DefaultParagraphFont"/>
    <w:rsid w:val="004247F8"/>
  </w:style>
  <w:style w:type="paragraph" w:styleId="BalloonText">
    <w:name w:val="Balloon Text"/>
    <w:basedOn w:val="Normal"/>
    <w:semiHidden/>
    <w:rsid w:val="004247F8"/>
    <w:rPr>
      <w:rFonts w:ascii="Tahoma" w:hAnsi="Tahoma" w:cs="Tahoma"/>
      <w:sz w:val="16"/>
      <w:szCs w:val="16"/>
    </w:rPr>
  </w:style>
  <w:style w:type="character" w:styleId="Emphasis">
    <w:name w:val="Emphasis"/>
    <w:basedOn w:val="DefaultParagraphFont"/>
    <w:qFormat/>
    <w:rsid w:val="004247F8"/>
    <w:rPr>
      <w:i/>
      <w:iCs/>
    </w:rPr>
  </w:style>
  <w:style w:type="character" w:styleId="Strong">
    <w:name w:val="Strong"/>
    <w:basedOn w:val="DefaultParagraphFont"/>
    <w:qFormat/>
    <w:rsid w:val="004247F8"/>
    <w:rPr>
      <w:b/>
      <w:bCs/>
    </w:rPr>
  </w:style>
  <w:style w:type="paragraph" w:styleId="BodyTextIndent">
    <w:name w:val="Body Text Indent"/>
    <w:basedOn w:val="Normal"/>
    <w:rsid w:val="009D51CA"/>
    <w:pPr>
      <w:ind w:left="720"/>
    </w:pPr>
  </w:style>
  <w:style w:type="paragraph" w:styleId="DocumentMap">
    <w:name w:val="Document Map"/>
    <w:basedOn w:val="Normal"/>
    <w:semiHidden/>
    <w:rsid w:val="0075353D"/>
    <w:pPr>
      <w:shd w:val="clear" w:color="auto" w:fill="000080"/>
    </w:pPr>
    <w:rPr>
      <w:rFonts w:ascii="Tahoma" w:hAnsi="Tahoma" w:cs="Tahoma"/>
      <w:sz w:val="20"/>
      <w:szCs w:val="20"/>
    </w:rPr>
  </w:style>
  <w:style w:type="character" w:styleId="CommentReference">
    <w:name w:val="annotation reference"/>
    <w:basedOn w:val="DefaultParagraphFont"/>
    <w:uiPriority w:val="99"/>
    <w:semiHidden/>
    <w:rsid w:val="00C225A1"/>
    <w:rPr>
      <w:sz w:val="16"/>
      <w:szCs w:val="16"/>
    </w:rPr>
  </w:style>
  <w:style w:type="paragraph" w:styleId="CommentText">
    <w:name w:val="annotation text"/>
    <w:basedOn w:val="Normal"/>
    <w:link w:val="CommentTextChar"/>
    <w:uiPriority w:val="99"/>
    <w:semiHidden/>
    <w:rsid w:val="00C225A1"/>
    <w:rPr>
      <w:sz w:val="20"/>
      <w:szCs w:val="20"/>
    </w:rPr>
  </w:style>
  <w:style w:type="paragraph" w:styleId="CommentSubject">
    <w:name w:val="annotation subject"/>
    <w:basedOn w:val="CommentText"/>
    <w:next w:val="CommentText"/>
    <w:semiHidden/>
    <w:rsid w:val="00C225A1"/>
    <w:rPr>
      <w:b/>
      <w:bCs/>
    </w:rPr>
  </w:style>
  <w:style w:type="character" w:styleId="FollowedHyperlink">
    <w:name w:val="FollowedHyperlink"/>
    <w:basedOn w:val="DefaultParagraphFont"/>
    <w:rsid w:val="00D90394"/>
    <w:rPr>
      <w:color w:val="800080"/>
      <w:u w:val="single"/>
    </w:rPr>
  </w:style>
  <w:style w:type="character" w:customStyle="1" w:styleId="Heading2Char">
    <w:name w:val="Heading 2 Char"/>
    <w:basedOn w:val="DefaultParagraphFont"/>
    <w:link w:val="Heading2"/>
    <w:rsid w:val="003C00B6"/>
    <w:rPr>
      <w:strike/>
      <w:sz w:val="24"/>
      <w:szCs w:val="24"/>
      <w:u w:val="single"/>
      <w:lang w:val="en-US" w:eastAsia="en-US" w:bidi="ar-SA"/>
    </w:rPr>
  </w:style>
  <w:style w:type="table" w:styleId="TableGrid">
    <w:name w:val="Table Grid"/>
    <w:basedOn w:val="TableNormal"/>
    <w:rsid w:val="0001141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11DF"/>
    <w:rPr>
      <w:sz w:val="24"/>
      <w:szCs w:val="24"/>
    </w:rPr>
  </w:style>
  <w:style w:type="character" w:customStyle="1" w:styleId="FooterChar">
    <w:name w:val="Footer Char"/>
    <w:basedOn w:val="DefaultParagraphFont"/>
    <w:link w:val="Footer"/>
    <w:uiPriority w:val="99"/>
    <w:locked/>
    <w:rsid w:val="005D0B4B"/>
    <w:rPr>
      <w:sz w:val="24"/>
      <w:szCs w:val="24"/>
    </w:rPr>
  </w:style>
  <w:style w:type="character" w:customStyle="1" w:styleId="CommentTextChar">
    <w:name w:val="Comment Text Char"/>
    <w:basedOn w:val="DefaultParagraphFont"/>
    <w:link w:val="CommentText"/>
    <w:uiPriority w:val="99"/>
    <w:semiHidden/>
    <w:rsid w:val="00CF191D"/>
  </w:style>
  <w:style w:type="character" w:styleId="Hyperlink">
    <w:name w:val="Hyperlink"/>
    <w:basedOn w:val="DefaultParagraphFont"/>
    <w:uiPriority w:val="99"/>
    <w:unhideWhenUsed/>
    <w:rsid w:val="001D59BD"/>
    <w:rPr>
      <w:color w:val="0000FF" w:themeColor="hyperlink"/>
      <w:u w:val="single"/>
    </w:rPr>
  </w:style>
  <w:style w:type="paragraph" w:styleId="ListParagraph">
    <w:name w:val="List Paragraph"/>
    <w:basedOn w:val="Normal"/>
    <w:uiPriority w:val="34"/>
    <w:qFormat/>
    <w:rsid w:val="00F30A3E"/>
    <w:pPr>
      <w:widowControl/>
      <w:autoSpaceDE/>
      <w:autoSpaceDN/>
      <w:adjustRightInd/>
      <w:ind w:left="720"/>
    </w:pPr>
    <w:rPr>
      <w:rFonts w:ascii="Calibri" w:eastAsiaTheme="minorHAnsi" w:hAnsi="Calibri"/>
      <w:sz w:val="22"/>
      <w:szCs w:val="22"/>
    </w:rPr>
  </w:style>
  <w:style w:type="paragraph" w:styleId="FootnoteText">
    <w:name w:val="footnote text"/>
    <w:basedOn w:val="Normal"/>
    <w:link w:val="FootnoteTextChar"/>
    <w:uiPriority w:val="99"/>
    <w:semiHidden/>
    <w:unhideWhenUsed/>
    <w:rsid w:val="008539DB"/>
    <w:rPr>
      <w:sz w:val="20"/>
      <w:szCs w:val="20"/>
    </w:rPr>
  </w:style>
  <w:style w:type="character" w:customStyle="1" w:styleId="FootnoteTextChar">
    <w:name w:val="Footnote Text Char"/>
    <w:basedOn w:val="DefaultParagraphFont"/>
    <w:link w:val="FootnoteText"/>
    <w:uiPriority w:val="99"/>
    <w:semiHidden/>
    <w:rsid w:val="008539DB"/>
  </w:style>
  <w:style w:type="paragraph" w:styleId="TOC1">
    <w:name w:val="toc 1"/>
    <w:basedOn w:val="Normal"/>
    <w:next w:val="Normal"/>
    <w:autoRedefine/>
    <w:uiPriority w:val="39"/>
    <w:unhideWhenUsed/>
    <w:qFormat/>
    <w:rsid w:val="00F66993"/>
    <w:pPr>
      <w:spacing w:after="100"/>
    </w:pPr>
  </w:style>
  <w:style w:type="paragraph" w:styleId="TOCHeading">
    <w:name w:val="TOC Heading"/>
    <w:basedOn w:val="Heading1"/>
    <w:next w:val="Normal"/>
    <w:uiPriority w:val="39"/>
    <w:semiHidden/>
    <w:unhideWhenUsed/>
    <w:qFormat/>
    <w:rsid w:val="00893FBD"/>
    <w:pPr>
      <w:keepLines/>
      <w:widowControl/>
      <w:tabs>
        <w:tab w:val="clear" w:pos="-1080"/>
        <w:tab w:val="clear" w:pos="-720"/>
        <w:tab w:val="clear" w:pos="117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ja-JP"/>
    </w:rPr>
  </w:style>
  <w:style w:type="paragraph" w:styleId="TOC2">
    <w:name w:val="toc 2"/>
    <w:basedOn w:val="Normal"/>
    <w:next w:val="Normal"/>
    <w:autoRedefine/>
    <w:uiPriority w:val="39"/>
    <w:semiHidden/>
    <w:unhideWhenUsed/>
    <w:qFormat/>
    <w:rsid w:val="00893FBD"/>
    <w:pPr>
      <w:widowControl/>
      <w:autoSpaceDE/>
      <w:autoSpaceDN/>
      <w:adjustRightInd/>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893FBD"/>
    <w:pPr>
      <w:widowControl/>
      <w:autoSpaceDE/>
      <w:autoSpaceDN/>
      <w:adjustRightInd/>
      <w:spacing w:after="100" w:line="276" w:lineRule="auto"/>
      <w:ind w:left="440"/>
    </w:pPr>
    <w:rPr>
      <w:rFonts w:asciiTheme="minorHAnsi" w:eastAsiaTheme="minorEastAsia" w:hAnsiTheme="minorHAnsi" w:cstheme="minorBidi"/>
      <w:sz w:val="22"/>
      <w:szCs w:val="22"/>
      <w:lang w:eastAsia="ja-JP"/>
    </w:rPr>
  </w:style>
  <w:style w:type="paragraph" w:styleId="Caption">
    <w:name w:val="caption"/>
    <w:basedOn w:val="Normal"/>
    <w:next w:val="Normal"/>
    <w:uiPriority w:val="35"/>
    <w:unhideWhenUsed/>
    <w:qFormat/>
    <w:rsid w:val="00513245"/>
    <w:pPr>
      <w:spacing w:after="200"/>
    </w:pPr>
    <w:rPr>
      <w:b/>
      <w:bCs/>
      <w:color w:val="4F81BD" w:themeColor="accent1"/>
      <w:sz w:val="18"/>
      <w:szCs w:val="18"/>
    </w:rPr>
  </w:style>
  <w:style w:type="paragraph" w:customStyle="1" w:styleId="Default">
    <w:name w:val="Default"/>
    <w:rsid w:val="00D2173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24208">
      <w:bodyDiv w:val="1"/>
      <w:marLeft w:val="0"/>
      <w:marRight w:val="0"/>
      <w:marTop w:val="0"/>
      <w:marBottom w:val="0"/>
      <w:divBdr>
        <w:top w:val="none" w:sz="0" w:space="0" w:color="auto"/>
        <w:left w:val="none" w:sz="0" w:space="0" w:color="auto"/>
        <w:bottom w:val="none" w:sz="0" w:space="0" w:color="auto"/>
        <w:right w:val="none" w:sz="0" w:space="0" w:color="auto"/>
      </w:divBdr>
    </w:div>
    <w:div w:id="79958427">
      <w:bodyDiv w:val="1"/>
      <w:marLeft w:val="0"/>
      <w:marRight w:val="0"/>
      <w:marTop w:val="0"/>
      <w:marBottom w:val="0"/>
      <w:divBdr>
        <w:top w:val="none" w:sz="0" w:space="0" w:color="auto"/>
        <w:left w:val="none" w:sz="0" w:space="0" w:color="auto"/>
        <w:bottom w:val="none" w:sz="0" w:space="0" w:color="auto"/>
        <w:right w:val="none" w:sz="0" w:space="0" w:color="auto"/>
      </w:divBdr>
    </w:div>
    <w:div w:id="128594157">
      <w:bodyDiv w:val="1"/>
      <w:marLeft w:val="0"/>
      <w:marRight w:val="0"/>
      <w:marTop w:val="0"/>
      <w:marBottom w:val="0"/>
      <w:divBdr>
        <w:top w:val="none" w:sz="0" w:space="0" w:color="auto"/>
        <w:left w:val="none" w:sz="0" w:space="0" w:color="auto"/>
        <w:bottom w:val="none" w:sz="0" w:space="0" w:color="auto"/>
        <w:right w:val="none" w:sz="0" w:space="0" w:color="auto"/>
      </w:divBdr>
    </w:div>
    <w:div w:id="205797966">
      <w:bodyDiv w:val="1"/>
      <w:marLeft w:val="0"/>
      <w:marRight w:val="0"/>
      <w:marTop w:val="0"/>
      <w:marBottom w:val="0"/>
      <w:divBdr>
        <w:top w:val="none" w:sz="0" w:space="0" w:color="auto"/>
        <w:left w:val="none" w:sz="0" w:space="0" w:color="auto"/>
        <w:bottom w:val="none" w:sz="0" w:space="0" w:color="auto"/>
        <w:right w:val="none" w:sz="0" w:space="0" w:color="auto"/>
      </w:divBdr>
    </w:div>
    <w:div w:id="250817927">
      <w:bodyDiv w:val="1"/>
      <w:marLeft w:val="0"/>
      <w:marRight w:val="0"/>
      <w:marTop w:val="0"/>
      <w:marBottom w:val="0"/>
      <w:divBdr>
        <w:top w:val="none" w:sz="0" w:space="0" w:color="auto"/>
        <w:left w:val="none" w:sz="0" w:space="0" w:color="auto"/>
        <w:bottom w:val="none" w:sz="0" w:space="0" w:color="auto"/>
        <w:right w:val="none" w:sz="0" w:space="0" w:color="auto"/>
      </w:divBdr>
    </w:div>
    <w:div w:id="471680049">
      <w:bodyDiv w:val="1"/>
      <w:marLeft w:val="0"/>
      <w:marRight w:val="0"/>
      <w:marTop w:val="0"/>
      <w:marBottom w:val="0"/>
      <w:divBdr>
        <w:top w:val="none" w:sz="0" w:space="0" w:color="auto"/>
        <w:left w:val="none" w:sz="0" w:space="0" w:color="auto"/>
        <w:bottom w:val="none" w:sz="0" w:space="0" w:color="auto"/>
        <w:right w:val="none" w:sz="0" w:space="0" w:color="auto"/>
      </w:divBdr>
    </w:div>
    <w:div w:id="510220422">
      <w:bodyDiv w:val="1"/>
      <w:marLeft w:val="0"/>
      <w:marRight w:val="0"/>
      <w:marTop w:val="0"/>
      <w:marBottom w:val="0"/>
      <w:divBdr>
        <w:top w:val="none" w:sz="0" w:space="0" w:color="auto"/>
        <w:left w:val="none" w:sz="0" w:space="0" w:color="auto"/>
        <w:bottom w:val="none" w:sz="0" w:space="0" w:color="auto"/>
        <w:right w:val="none" w:sz="0" w:space="0" w:color="auto"/>
      </w:divBdr>
    </w:div>
    <w:div w:id="595557860">
      <w:bodyDiv w:val="1"/>
      <w:marLeft w:val="0"/>
      <w:marRight w:val="0"/>
      <w:marTop w:val="0"/>
      <w:marBottom w:val="0"/>
      <w:divBdr>
        <w:top w:val="none" w:sz="0" w:space="0" w:color="auto"/>
        <w:left w:val="none" w:sz="0" w:space="0" w:color="auto"/>
        <w:bottom w:val="none" w:sz="0" w:space="0" w:color="auto"/>
        <w:right w:val="none" w:sz="0" w:space="0" w:color="auto"/>
      </w:divBdr>
      <w:divsChild>
        <w:div w:id="1097872028">
          <w:marLeft w:val="0"/>
          <w:marRight w:val="0"/>
          <w:marTop w:val="0"/>
          <w:marBottom w:val="0"/>
          <w:divBdr>
            <w:top w:val="none" w:sz="0" w:space="0" w:color="auto"/>
            <w:left w:val="none" w:sz="0" w:space="0" w:color="auto"/>
            <w:bottom w:val="none" w:sz="0" w:space="0" w:color="auto"/>
            <w:right w:val="none" w:sz="0" w:space="0" w:color="auto"/>
          </w:divBdr>
        </w:div>
      </w:divsChild>
    </w:div>
    <w:div w:id="609747404">
      <w:bodyDiv w:val="1"/>
      <w:marLeft w:val="0"/>
      <w:marRight w:val="0"/>
      <w:marTop w:val="0"/>
      <w:marBottom w:val="0"/>
      <w:divBdr>
        <w:top w:val="none" w:sz="0" w:space="0" w:color="auto"/>
        <w:left w:val="none" w:sz="0" w:space="0" w:color="auto"/>
        <w:bottom w:val="none" w:sz="0" w:space="0" w:color="auto"/>
        <w:right w:val="none" w:sz="0" w:space="0" w:color="auto"/>
      </w:divBdr>
    </w:div>
    <w:div w:id="740640965">
      <w:bodyDiv w:val="1"/>
      <w:marLeft w:val="0"/>
      <w:marRight w:val="0"/>
      <w:marTop w:val="0"/>
      <w:marBottom w:val="0"/>
      <w:divBdr>
        <w:top w:val="none" w:sz="0" w:space="0" w:color="auto"/>
        <w:left w:val="none" w:sz="0" w:space="0" w:color="auto"/>
        <w:bottom w:val="none" w:sz="0" w:space="0" w:color="auto"/>
        <w:right w:val="none" w:sz="0" w:space="0" w:color="auto"/>
      </w:divBdr>
    </w:div>
    <w:div w:id="757942033">
      <w:bodyDiv w:val="1"/>
      <w:marLeft w:val="0"/>
      <w:marRight w:val="0"/>
      <w:marTop w:val="0"/>
      <w:marBottom w:val="0"/>
      <w:divBdr>
        <w:top w:val="none" w:sz="0" w:space="0" w:color="auto"/>
        <w:left w:val="none" w:sz="0" w:space="0" w:color="auto"/>
        <w:bottom w:val="none" w:sz="0" w:space="0" w:color="auto"/>
        <w:right w:val="none" w:sz="0" w:space="0" w:color="auto"/>
      </w:divBdr>
      <w:divsChild>
        <w:div w:id="537398561">
          <w:marLeft w:val="0"/>
          <w:marRight w:val="0"/>
          <w:marTop w:val="0"/>
          <w:marBottom w:val="0"/>
          <w:divBdr>
            <w:top w:val="none" w:sz="0" w:space="0" w:color="auto"/>
            <w:left w:val="none" w:sz="0" w:space="0" w:color="auto"/>
            <w:bottom w:val="none" w:sz="0" w:space="0" w:color="auto"/>
            <w:right w:val="none" w:sz="0" w:space="0" w:color="auto"/>
          </w:divBdr>
          <w:divsChild>
            <w:div w:id="87982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4231">
      <w:bodyDiv w:val="1"/>
      <w:marLeft w:val="0"/>
      <w:marRight w:val="0"/>
      <w:marTop w:val="0"/>
      <w:marBottom w:val="0"/>
      <w:divBdr>
        <w:top w:val="none" w:sz="0" w:space="0" w:color="auto"/>
        <w:left w:val="none" w:sz="0" w:space="0" w:color="auto"/>
        <w:bottom w:val="none" w:sz="0" w:space="0" w:color="auto"/>
        <w:right w:val="none" w:sz="0" w:space="0" w:color="auto"/>
      </w:divBdr>
    </w:div>
    <w:div w:id="902178164">
      <w:bodyDiv w:val="1"/>
      <w:marLeft w:val="0"/>
      <w:marRight w:val="0"/>
      <w:marTop w:val="0"/>
      <w:marBottom w:val="0"/>
      <w:divBdr>
        <w:top w:val="none" w:sz="0" w:space="0" w:color="auto"/>
        <w:left w:val="none" w:sz="0" w:space="0" w:color="auto"/>
        <w:bottom w:val="none" w:sz="0" w:space="0" w:color="auto"/>
        <w:right w:val="none" w:sz="0" w:space="0" w:color="auto"/>
      </w:divBdr>
    </w:div>
    <w:div w:id="904029813">
      <w:bodyDiv w:val="1"/>
      <w:marLeft w:val="0"/>
      <w:marRight w:val="0"/>
      <w:marTop w:val="0"/>
      <w:marBottom w:val="0"/>
      <w:divBdr>
        <w:top w:val="none" w:sz="0" w:space="0" w:color="auto"/>
        <w:left w:val="none" w:sz="0" w:space="0" w:color="auto"/>
        <w:bottom w:val="none" w:sz="0" w:space="0" w:color="auto"/>
        <w:right w:val="none" w:sz="0" w:space="0" w:color="auto"/>
      </w:divBdr>
    </w:div>
    <w:div w:id="911043885">
      <w:bodyDiv w:val="1"/>
      <w:marLeft w:val="0"/>
      <w:marRight w:val="0"/>
      <w:marTop w:val="0"/>
      <w:marBottom w:val="0"/>
      <w:divBdr>
        <w:top w:val="none" w:sz="0" w:space="0" w:color="auto"/>
        <w:left w:val="none" w:sz="0" w:space="0" w:color="auto"/>
        <w:bottom w:val="none" w:sz="0" w:space="0" w:color="auto"/>
        <w:right w:val="none" w:sz="0" w:space="0" w:color="auto"/>
      </w:divBdr>
    </w:div>
    <w:div w:id="1007516294">
      <w:bodyDiv w:val="1"/>
      <w:marLeft w:val="0"/>
      <w:marRight w:val="0"/>
      <w:marTop w:val="0"/>
      <w:marBottom w:val="0"/>
      <w:divBdr>
        <w:top w:val="none" w:sz="0" w:space="0" w:color="auto"/>
        <w:left w:val="none" w:sz="0" w:space="0" w:color="auto"/>
        <w:bottom w:val="none" w:sz="0" w:space="0" w:color="auto"/>
        <w:right w:val="none" w:sz="0" w:space="0" w:color="auto"/>
      </w:divBdr>
    </w:div>
    <w:div w:id="1023558814">
      <w:bodyDiv w:val="1"/>
      <w:marLeft w:val="0"/>
      <w:marRight w:val="0"/>
      <w:marTop w:val="0"/>
      <w:marBottom w:val="0"/>
      <w:divBdr>
        <w:top w:val="none" w:sz="0" w:space="0" w:color="auto"/>
        <w:left w:val="none" w:sz="0" w:space="0" w:color="auto"/>
        <w:bottom w:val="none" w:sz="0" w:space="0" w:color="auto"/>
        <w:right w:val="none" w:sz="0" w:space="0" w:color="auto"/>
      </w:divBdr>
    </w:div>
    <w:div w:id="1049690777">
      <w:bodyDiv w:val="1"/>
      <w:marLeft w:val="0"/>
      <w:marRight w:val="0"/>
      <w:marTop w:val="0"/>
      <w:marBottom w:val="0"/>
      <w:divBdr>
        <w:top w:val="none" w:sz="0" w:space="0" w:color="auto"/>
        <w:left w:val="none" w:sz="0" w:space="0" w:color="auto"/>
        <w:bottom w:val="none" w:sz="0" w:space="0" w:color="auto"/>
        <w:right w:val="none" w:sz="0" w:space="0" w:color="auto"/>
      </w:divBdr>
    </w:div>
    <w:div w:id="1164079862">
      <w:bodyDiv w:val="1"/>
      <w:marLeft w:val="0"/>
      <w:marRight w:val="0"/>
      <w:marTop w:val="0"/>
      <w:marBottom w:val="0"/>
      <w:divBdr>
        <w:top w:val="none" w:sz="0" w:space="0" w:color="auto"/>
        <w:left w:val="none" w:sz="0" w:space="0" w:color="auto"/>
        <w:bottom w:val="none" w:sz="0" w:space="0" w:color="auto"/>
        <w:right w:val="none" w:sz="0" w:space="0" w:color="auto"/>
      </w:divBdr>
    </w:div>
    <w:div w:id="1174145946">
      <w:bodyDiv w:val="1"/>
      <w:marLeft w:val="0"/>
      <w:marRight w:val="0"/>
      <w:marTop w:val="0"/>
      <w:marBottom w:val="0"/>
      <w:divBdr>
        <w:top w:val="none" w:sz="0" w:space="0" w:color="auto"/>
        <w:left w:val="none" w:sz="0" w:space="0" w:color="auto"/>
        <w:bottom w:val="none" w:sz="0" w:space="0" w:color="auto"/>
        <w:right w:val="none" w:sz="0" w:space="0" w:color="auto"/>
      </w:divBdr>
    </w:div>
    <w:div w:id="1215772137">
      <w:bodyDiv w:val="1"/>
      <w:marLeft w:val="0"/>
      <w:marRight w:val="0"/>
      <w:marTop w:val="0"/>
      <w:marBottom w:val="0"/>
      <w:divBdr>
        <w:top w:val="none" w:sz="0" w:space="0" w:color="auto"/>
        <w:left w:val="none" w:sz="0" w:space="0" w:color="auto"/>
        <w:bottom w:val="none" w:sz="0" w:space="0" w:color="auto"/>
        <w:right w:val="none" w:sz="0" w:space="0" w:color="auto"/>
      </w:divBdr>
    </w:div>
    <w:div w:id="1255672118">
      <w:bodyDiv w:val="1"/>
      <w:marLeft w:val="0"/>
      <w:marRight w:val="0"/>
      <w:marTop w:val="0"/>
      <w:marBottom w:val="0"/>
      <w:divBdr>
        <w:top w:val="none" w:sz="0" w:space="0" w:color="auto"/>
        <w:left w:val="none" w:sz="0" w:space="0" w:color="auto"/>
        <w:bottom w:val="none" w:sz="0" w:space="0" w:color="auto"/>
        <w:right w:val="none" w:sz="0" w:space="0" w:color="auto"/>
      </w:divBdr>
    </w:div>
    <w:div w:id="1319111603">
      <w:bodyDiv w:val="1"/>
      <w:marLeft w:val="0"/>
      <w:marRight w:val="0"/>
      <w:marTop w:val="0"/>
      <w:marBottom w:val="0"/>
      <w:divBdr>
        <w:top w:val="none" w:sz="0" w:space="0" w:color="auto"/>
        <w:left w:val="none" w:sz="0" w:space="0" w:color="auto"/>
        <w:bottom w:val="none" w:sz="0" w:space="0" w:color="auto"/>
        <w:right w:val="none" w:sz="0" w:space="0" w:color="auto"/>
      </w:divBdr>
    </w:div>
    <w:div w:id="1345665369">
      <w:bodyDiv w:val="1"/>
      <w:marLeft w:val="0"/>
      <w:marRight w:val="0"/>
      <w:marTop w:val="0"/>
      <w:marBottom w:val="0"/>
      <w:divBdr>
        <w:top w:val="none" w:sz="0" w:space="0" w:color="auto"/>
        <w:left w:val="none" w:sz="0" w:space="0" w:color="auto"/>
        <w:bottom w:val="none" w:sz="0" w:space="0" w:color="auto"/>
        <w:right w:val="none" w:sz="0" w:space="0" w:color="auto"/>
      </w:divBdr>
    </w:div>
    <w:div w:id="1364594496">
      <w:bodyDiv w:val="1"/>
      <w:marLeft w:val="0"/>
      <w:marRight w:val="0"/>
      <w:marTop w:val="0"/>
      <w:marBottom w:val="0"/>
      <w:divBdr>
        <w:top w:val="none" w:sz="0" w:space="0" w:color="auto"/>
        <w:left w:val="none" w:sz="0" w:space="0" w:color="auto"/>
        <w:bottom w:val="none" w:sz="0" w:space="0" w:color="auto"/>
        <w:right w:val="none" w:sz="0" w:space="0" w:color="auto"/>
      </w:divBdr>
    </w:div>
    <w:div w:id="1374622426">
      <w:bodyDiv w:val="1"/>
      <w:marLeft w:val="0"/>
      <w:marRight w:val="0"/>
      <w:marTop w:val="0"/>
      <w:marBottom w:val="0"/>
      <w:divBdr>
        <w:top w:val="none" w:sz="0" w:space="0" w:color="auto"/>
        <w:left w:val="none" w:sz="0" w:space="0" w:color="auto"/>
        <w:bottom w:val="none" w:sz="0" w:space="0" w:color="auto"/>
        <w:right w:val="none" w:sz="0" w:space="0" w:color="auto"/>
      </w:divBdr>
    </w:div>
    <w:div w:id="1377196522">
      <w:bodyDiv w:val="1"/>
      <w:marLeft w:val="0"/>
      <w:marRight w:val="0"/>
      <w:marTop w:val="0"/>
      <w:marBottom w:val="0"/>
      <w:divBdr>
        <w:top w:val="none" w:sz="0" w:space="0" w:color="auto"/>
        <w:left w:val="none" w:sz="0" w:space="0" w:color="auto"/>
        <w:bottom w:val="none" w:sz="0" w:space="0" w:color="auto"/>
        <w:right w:val="none" w:sz="0" w:space="0" w:color="auto"/>
      </w:divBdr>
    </w:div>
    <w:div w:id="1402407715">
      <w:bodyDiv w:val="1"/>
      <w:marLeft w:val="0"/>
      <w:marRight w:val="0"/>
      <w:marTop w:val="0"/>
      <w:marBottom w:val="0"/>
      <w:divBdr>
        <w:top w:val="none" w:sz="0" w:space="0" w:color="auto"/>
        <w:left w:val="none" w:sz="0" w:space="0" w:color="auto"/>
        <w:bottom w:val="none" w:sz="0" w:space="0" w:color="auto"/>
        <w:right w:val="none" w:sz="0" w:space="0" w:color="auto"/>
      </w:divBdr>
    </w:div>
    <w:div w:id="1419331555">
      <w:bodyDiv w:val="1"/>
      <w:marLeft w:val="0"/>
      <w:marRight w:val="0"/>
      <w:marTop w:val="0"/>
      <w:marBottom w:val="0"/>
      <w:divBdr>
        <w:top w:val="none" w:sz="0" w:space="0" w:color="auto"/>
        <w:left w:val="none" w:sz="0" w:space="0" w:color="auto"/>
        <w:bottom w:val="none" w:sz="0" w:space="0" w:color="auto"/>
        <w:right w:val="none" w:sz="0" w:space="0" w:color="auto"/>
      </w:divBdr>
    </w:div>
    <w:div w:id="1505245149">
      <w:bodyDiv w:val="1"/>
      <w:marLeft w:val="0"/>
      <w:marRight w:val="0"/>
      <w:marTop w:val="0"/>
      <w:marBottom w:val="0"/>
      <w:divBdr>
        <w:top w:val="none" w:sz="0" w:space="0" w:color="auto"/>
        <w:left w:val="none" w:sz="0" w:space="0" w:color="auto"/>
        <w:bottom w:val="none" w:sz="0" w:space="0" w:color="auto"/>
        <w:right w:val="none" w:sz="0" w:space="0" w:color="auto"/>
      </w:divBdr>
    </w:div>
    <w:div w:id="1513687194">
      <w:bodyDiv w:val="1"/>
      <w:marLeft w:val="0"/>
      <w:marRight w:val="0"/>
      <w:marTop w:val="0"/>
      <w:marBottom w:val="0"/>
      <w:divBdr>
        <w:top w:val="none" w:sz="0" w:space="0" w:color="auto"/>
        <w:left w:val="none" w:sz="0" w:space="0" w:color="auto"/>
        <w:bottom w:val="none" w:sz="0" w:space="0" w:color="auto"/>
        <w:right w:val="none" w:sz="0" w:space="0" w:color="auto"/>
      </w:divBdr>
    </w:div>
    <w:div w:id="1532184743">
      <w:bodyDiv w:val="1"/>
      <w:marLeft w:val="0"/>
      <w:marRight w:val="0"/>
      <w:marTop w:val="0"/>
      <w:marBottom w:val="0"/>
      <w:divBdr>
        <w:top w:val="none" w:sz="0" w:space="0" w:color="auto"/>
        <w:left w:val="none" w:sz="0" w:space="0" w:color="auto"/>
        <w:bottom w:val="none" w:sz="0" w:space="0" w:color="auto"/>
        <w:right w:val="none" w:sz="0" w:space="0" w:color="auto"/>
      </w:divBdr>
    </w:div>
    <w:div w:id="1541356775">
      <w:bodyDiv w:val="1"/>
      <w:marLeft w:val="0"/>
      <w:marRight w:val="0"/>
      <w:marTop w:val="0"/>
      <w:marBottom w:val="0"/>
      <w:divBdr>
        <w:top w:val="none" w:sz="0" w:space="0" w:color="auto"/>
        <w:left w:val="none" w:sz="0" w:space="0" w:color="auto"/>
        <w:bottom w:val="none" w:sz="0" w:space="0" w:color="auto"/>
        <w:right w:val="none" w:sz="0" w:space="0" w:color="auto"/>
      </w:divBdr>
    </w:div>
    <w:div w:id="1569609425">
      <w:bodyDiv w:val="1"/>
      <w:marLeft w:val="0"/>
      <w:marRight w:val="0"/>
      <w:marTop w:val="0"/>
      <w:marBottom w:val="0"/>
      <w:divBdr>
        <w:top w:val="none" w:sz="0" w:space="0" w:color="auto"/>
        <w:left w:val="none" w:sz="0" w:space="0" w:color="auto"/>
        <w:bottom w:val="none" w:sz="0" w:space="0" w:color="auto"/>
        <w:right w:val="none" w:sz="0" w:space="0" w:color="auto"/>
      </w:divBdr>
    </w:div>
    <w:div w:id="1599287205">
      <w:bodyDiv w:val="1"/>
      <w:marLeft w:val="0"/>
      <w:marRight w:val="0"/>
      <w:marTop w:val="0"/>
      <w:marBottom w:val="0"/>
      <w:divBdr>
        <w:top w:val="none" w:sz="0" w:space="0" w:color="auto"/>
        <w:left w:val="none" w:sz="0" w:space="0" w:color="auto"/>
        <w:bottom w:val="none" w:sz="0" w:space="0" w:color="auto"/>
        <w:right w:val="none" w:sz="0" w:space="0" w:color="auto"/>
      </w:divBdr>
    </w:div>
    <w:div w:id="1602028450">
      <w:bodyDiv w:val="1"/>
      <w:marLeft w:val="0"/>
      <w:marRight w:val="0"/>
      <w:marTop w:val="0"/>
      <w:marBottom w:val="0"/>
      <w:divBdr>
        <w:top w:val="none" w:sz="0" w:space="0" w:color="auto"/>
        <w:left w:val="none" w:sz="0" w:space="0" w:color="auto"/>
        <w:bottom w:val="none" w:sz="0" w:space="0" w:color="auto"/>
        <w:right w:val="none" w:sz="0" w:space="0" w:color="auto"/>
      </w:divBdr>
    </w:div>
    <w:div w:id="1681278574">
      <w:bodyDiv w:val="1"/>
      <w:marLeft w:val="0"/>
      <w:marRight w:val="0"/>
      <w:marTop w:val="0"/>
      <w:marBottom w:val="0"/>
      <w:divBdr>
        <w:top w:val="none" w:sz="0" w:space="0" w:color="auto"/>
        <w:left w:val="none" w:sz="0" w:space="0" w:color="auto"/>
        <w:bottom w:val="none" w:sz="0" w:space="0" w:color="auto"/>
        <w:right w:val="none" w:sz="0" w:space="0" w:color="auto"/>
      </w:divBdr>
    </w:div>
    <w:div w:id="1684353998">
      <w:bodyDiv w:val="1"/>
      <w:marLeft w:val="0"/>
      <w:marRight w:val="0"/>
      <w:marTop w:val="0"/>
      <w:marBottom w:val="0"/>
      <w:divBdr>
        <w:top w:val="none" w:sz="0" w:space="0" w:color="auto"/>
        <w:left w:val="none" w:sz="0" w:space="0" w:color="auto"/>
        <w:bottom w:val="none" w:sz="0" w:space="0" w:color="auto"/>
        <w:right w:val="none" w:sz="0" w:space="0" w:color="auto"/>
      </w:divBdr>
    </w:div>
    <w:div w:id="1764449506">
      <w:bodyDiv w:val="1"/>
      <w:marLeft w:val="0"/>
      <w:marRight w:val="0"/>
      <w:marTop w:val="0"/>
      <w:marBottom w:val="0"/>
      <w:divBdr>
        <w:top w:val="none" w:sz="0" w:space="0" w:color="auto"/>
        <w:left w:val="none" w:sz="0" w:space="0" w:color="auto"/>
        <w:bottom w:val="none" w:sz="0" w:space="0" w:color="auto"/>
        <w:right w:val="none" w:sz="0" w:space="0" w:color="auto"/>
      </w:divBdr>
    </w:div>
    <w:div w:id="1779523705">
      <w:bodyDiv w:val="1"/>
      <w:marLeft w:val="0"/>
      <w:marRight w:val="0"/>
      <w:marTop w:val="0"/>
      <w:marBottom w:val="0"/>
      <w:divBdr>
        <w:top w:val="none" w:sz="0" w:space="0" w:color="auto"/>
        <w:left w:val="none" w:sz="0" w:space="0" w:color="auto"/>
        <w:bottom w:val="none" w:sz="0" w:space="0" w:color="auto"/>
        <w:right w:val="none" w:sz="0" w:space="0" w:color="auto"/>
      </w:divBdr>
    </w:div>
    <w:div w:id="1804620819">
      <w:bodyDiv w:val="1"/>
      <w:marLeft w:val="0"/>
      <w:marRight w:val="0"/>
      <w:marTop w:val="0"/>
      <w:marBottom w:val="0"/>
      <w:divBdr>
        <w:top w:val="none" w:sz="0" w:space="0" w:color="auto"/>
        <w:left w:val="none" w:sz="0" w:space="0" w:color="auto"/>
        <w:bottom w:val="none" w:sz="0" w:space="0" w:color="auto"/>
        <w:right w:val="none" w:sz="0" w:space="0" w:color="auto"/>
      </w:divBdr>
    </w:div>
    <w:div w:id="1834102016">
      <w:bodyDiv w:val="1"/>
      <w:marLeft w:val="0"/>
      <w:marRight w:val="0"/>
      <w:marTop w:val="0"/>
      <w:marBottom w:val="0"/>
      <w:divBdr>
        <w:top w:val="none" w:sz="0" w:space="0" w:color="auto"/>
        <w:left w:val="none" w:sz="0" w:space="0" w:color="auto"/>
        <w:bottom w:val="none" w:sz="0" w:space="0" w:color="auto"/>
        <w:right w:val="none" w:sz="0" w:space="0" w:color="auto"/>
      </w:divBdr>
    </w:div>
    <w:div w:id="1857383573">
      <w:bodyDiv w:val="1"/>
      <w:marLeft w:val="0"/>
      <w:marRight w:val="0"/>
      <w:marTop w:val="0"/>
      <w:marBottom w:val="0"/>
      <w:divBdr>
        <w:top w:val="none" w:sz="0" w:space="0" w:color="auto"/>
        <w:left w:val="none" w:sz="0" w:space="0" w:color="auto"/>
        <w:bottom w:val="none" w:sz="0" w:space="0" w:color="auto"/>
        <w:right w:val="none" w:sz="0" w:space="0" w:color="auto"/>
      </w:divBdr>
    </w:div>
    <w:div w:id="1863663421">
      <w:bodyDiv w:val="1"/>
      <w:marLeft w:val="0"/>
      <w:marRight w:val="0"/>
      <w:marTop w:val="0"/>
      <w:marBottom w:val="0"/>
      <w:divBdr>
        <w:top w:val="none" w:sz="0" w:space="0" w:color="auto"/>
        <w:left w:val="none" w:sz="0" w:space="0" w:color="auto"/>
        <w:bottom w:val="none" w:sz="0" w:space="0" w:color="auto"/>
        <w:right w:val="none" w:sz="0" w:space="0" w:color="auto"/>
      </w:divBdr>
    </w:div>
    <w:div w:id="1873955838">
      <w:bodyDiv w:val="1"/>
      <w:marLeft w:val="0"/>
      <w:marRight w:val="0"/>
      <w:marTop w:val="0"/>
      <w:marBottom w:val="0"/>
      <w:divBdr>
        <w:top w:val="none" w:sz="0" w:space="0" w:color="auto"/>
        <w:left w:val="none" w:sz="0" w:space="0" w:color="auto"/>
        <w:bottom w:val="none" w:sz="0" w:space="0" w:color="auto"/>
        <w:right w:val="none" w:sz="0" w:space="0" w:color="auto"/>
      </w:divBdr>
    </w:div>
    <w:div w:id="1876575150">
      <w:bodyDiv w:val="1"/>
      <w:marLeft w:val="0"/>
      <w:marRight w:val="0"/>
      <w:marTop w:val="0"/>
      <w:marBottom w:val="0"/>
      <w:divBdr>
        <w:top w:val="none" w:sz="0" w:space="0" w:color="auto"/>
        <w:left w:val="none" w:sz="0" w:space="0" w:color="auto"/>
        <w:bottom w:val="none" w:sz="0" w:space="0" w:color="auto"/>
        <w:right w:val="none" w:sz="0" w:space="0" w:color="auto"/>
      </w:divBdr>
    </w:div>
    <w:div w:id="1913544827">
      <w:bodyDiv w:val="1"/>
      <w:marLeft w:val="0"/>
      <w:marRight w:val="0"/>
      <w:marTop w:val="0"/>
      <w:marBottom w:val="0"/>
      <w:divBdr>
        <w:top w:val="none" w:sz="0" w:space="0" w:color="auto"/>
        <w:left w:val="none" w:sz="0" w:space="0" w:color="auto"/>
        <w:bottom w:val="none" w:sz="0" w:space="0" w:color="auto"/>
        <w:right w:val="none" w:sz="0" w:space="0" w:color="auto"/>
      </w:divBdr>
    </w:div>
    <w:div w:id="1924873655">
      <w:bodyDiv w:val="1"/>
      <w:marLeft w:val="0"/>
      <w:marRight w:val="0"/>
      <w:marTop w:val="0"/>
      <w:marBottom w:val="0"/>
      <w:divBdr>
        <w:top w:val="none" w:sz="0" w:space="0" w:color="auto"/>
        <w:left w:val="none" w:sz="0" w:space="0" w:color="auto"/>
        <w:bottom w:val="none" w:sz="0" w:space="0" w:color="auto"/>
        <w:right w:val="none" w:sz="0" w:space="0" w:color="auto"/>
      </w:divBdr>
    </w:div>
    <w:div w:id="1987588266">
      <w:bodyDiv w:val="1"/>
      <w:marLeft w:val="0"/>
      <w:marRight w:val="0"/>
      <w:marTop w:val="0"/>
      <w:marBottom w:val="0"/>
      <w:divBdr>
        <w:top w:val="none" w:sz="0" w:space="0" w:color="auto"/>
        <w:left w:val="none" w:sz="0" w:space="0" w:color="auto"/>
        <w:bottom w:val="none" w:sz="0" w:space="0" w:color="auto"/>
        <w:right w:val="none" w:sz="0" w:space="0" w:color="auto"/>
      </w:divBdr>
    </w:div>
    <w:div w:id="205823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package" Target="embeddings/Microsoft_Excel_Worksheet2.xlsx"/><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package" Target="embeddings/Microsoft_Excel_Worksheet3.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package" Target="embeddings/Microsoft_Excel_Worksheet1.xlsx"/><Relationship Id="rId23" Type="http://schemas.openxmlformats.org/officeDocument/2006/relationships/image" Target="media/image5.emf"/><Relationship Id="rId28" Type="http://schemas.openxmlformats.org/officeDocument/2006/relationships/package" Target="embeddings/Microsoft_Excel_Worksheet4.xlsx"/><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eader" Target="header2.xml"/><Relationship Id="rId27" Type="http://schemas.openxmlformats.org/officeDocument/2006/relationships/image" Target="media/image9.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yiht\Desktop\Copy%20of%20FY17%20CJ%20BF%20tables%201-20-2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1"/>
          <a:lstStyle/>
          <a:p>
            <a:pPr>
              <a:defRPr sz="1800"/>
            </a:pPr>
            <a:r>
              <a:rPr lang="en-US" sz="1800"/>
              <a:t>Funding Levels by Fiscal Year</a:t>
            </a:r>
          </a:p>
          <a:p>
            <a:pPr>
              <a:defRPr sz="1800"/>
            </a:pPr>
            <a:r>
              <a:rPr lang="en-US" sz="1400" b="0"/>
              <a:t>(Dollars in Millions)</a:t>
            </a:r>
          </a:p>
        </c:rich>
      </c:tx>
      <c:layout>
        <c:manualLayout>
          <c:xMode val="edge"/>
          <c:yMode val="edge"/>
          <c:x val="0.27786881137700747"/>
          <c:y val="1.4118218807678488E-2"/>
        </c:manualLayout>
      </c:layout>
      <c:overlay val="0"/>
      <c:spPr>
        <a:noFill/>
        <a:ln w="25400">
          <a:noFill/>
        </a:ln>
      </c:spPr>
    </c:title>
    <c:autoTitleDeleted val="0"/>
    <c:plotArea>
      <c:layout>
        <c:manualLayout>
          <c:layoutTarget val="inner"/>
          <c:xMode val="edge"/>
          <c:yMode val="edge"/>
          <c:x val="0.14864841895961153"/>
          <c:y val="0.141427757681472"/>
          <c:w val="0.85046855273516608"/>
          <c:h val="0.67915768529265452"/>
        </c:manualLayout>
      </c:layout>
      <c:barChart>
        <c:barDir val="col"/>
        <c:grouping val="clustered"/>
        <c:varyColors val="0"/>
        <c:ser>
          <c:idx val="0"/>
          <c:order val="0"/>
          <c:spPr>
            <a:solidFill>
              <a:srgbClr val="1F497D">
                <a:lumMod val="40000"/>
                <a:lumOff val="60000"/>
              </a:srgbClr>
            </a:solidFill>
            <a:ln w="12700">
              <a:solidFill>
                <a:srgbClr val="000000"/>
              </a:solidFill>
              <a:prstDash val="solid"/>
            </a:ln>
          </c:spPr>
          <c:invertIfNegative val="0"/>
          <c:dLbls>
            <c:spPr>
              <a:noFill/>
              <a:ln w="25400">
                <a:noFill/>
                <a:prstDash val="solid"/>
              </a:ln>
            </c:spPr>
            <c:txPr>
              <a:bodyPr/>
              <a:lstStyle/>
              <a:p>
                <a:pPr>
                  <a:defRPr sz="16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'Funding Levels by Year-graph'!$C$6:$C$10</c:f>
              <c:numCache>
                <c:formatCode>General</c:formatCode>
                <c:ptCount val="5"/>
                <c:pt idx="0">
                  <c:v>2013</c:v>
                </c:pt>
                <c:pt idx="1">
                  <c:v>2014</c:v>
                </c:pt>
                <c:pt idx="2">
                  <c:v>2015</c:v>
                </c:pt>
                <c:pt idx="3">
                  <c:v>2016</c:v>
                </c:pt>
                <c:pt idx="4">
                  <c:v>2017</c:v>
                </c:pt>
              </c:numCache>
            </c:numRef>
          </c:cat>
          <c:val>
            <c:numRef>
              <c:f>'Funding Levels by Year-graph'!$E$6:$E$10</c:f>
              <c:numCache>
                <c:formatCode>#,##0.0</c:formatCode>
                <c:ptCount val="5"/>
                <c:pt idx="0">
                  <c:v>118.1</c:v>
                </c:pt>
                <c:pt idx="1">
                  <c:v>128.69999999999999</c:v>
                </c:pt>
                <c:pt idx="2">
                  <c:v>128.9</c:v>
                </c:pt>
                <c:pt idx="3">
                  <c:v>128.9</c:v>
                </c:pt>
                <c:pt idx="4">
                  <c:v>128.9</c:v>
                </c:pt>
              </c:numCache>
            </c:numRef>
          </c:val>
        </c:ser>
        <c:dLbls>
          <c:showLegendKey val="0"/>
          <c:showVal val="1"/>
          <c:showCatName val="0"/>
          <c:showSerName val="0"/>
          <c:showPercent val="0"/>
          <c:showBubbleSize val="0"/>
        </c:dLbls>
        <c:gapWidth val="53"/>
        <c:axId val="399194376"/>
        <c:axId val="399194768"/>
      </c:barChart>
      <c:catAx>
        <c:axId val="399194376"/>
        <c:scaling>
          <c:orientation val="minMax"/>
        </c:scaling>
        <c:delete val="0"/>
        <c:axPos val="b"/>
        <c:title>
          <c:tx>
            <c:rich>
              <a:bodyPr/>
              <a:lstStyle/>
              <a:p>
                <a:pPr>
                  <a:defRPr sz="1600"/>
                </a:pPr>
                <a:r>
                  <a:rPr lang="en-US" sz="1600"/>
                  <a:t>Fiscal Year</a:t>
                </a:r>
              </a:p>
            </c:rich>
          </c:tx>
          <c:layout>
            <c:manualLayout>
              <c:xMode val="edge"/>
              <c:yMode val="edge"/>
              <c:x val="0.44363636515938387"/>
              <c:y val="0.90919145284121161"/>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600"/>
            </a:pPr>
            <a:endParaRPr lang="en-US"/>
          </a:p>
        </c:txPr>
        <c:crossAx val="399194768"/>
        <c:crosses val="autoZero"/>
        <c:auto val="0"/>
        <c:lblAlgn val="ctr"/>
        <c:lblOffset val="100"/>
        <c:tickLblSkip val="1"/>
        <c:tickMarkSkip val="1"/>
        <c:noMultiLvlLbl val="0"/>
      </c:catAx>
      <c:valAx>
        <c:axId val="399194768"/>
        <c:scaling>
          <c:orientation val="minMax"/>
        </c:scaling>
        <c:delete val="0"/>
        <c:axPos val="l"/>
        <c:majorGridlines>
          <c:spPr>
            <a:ln w="3175">
              <a:solidFill>
                <a:schemeClr val="tx1"/>
              </a:solidFill>
              <a:prstDash val="solid"/>
            </a:ln>
            <a:effectLst/>
          </c:spPr>
        </c:majorGridlines>
        <c:numFmt formatCode="\$#,##0" sourceLinked="0"/>
        <c:majorTickMark val="out"/>
        <c:minorTickMark val="none"/>
        <c:tickLblPos val="nextTo"/>
        <c:spPr>
          <a:ln w="3175">
            <a:solidFill>
              <a:srgbClr val="000000"/>
            </a:solidFill>
            <a:prstDash val="solid"/>
          </a:ln>
        </c:spPr>
        <c:txPr>
          <a:bodyPr rot="0" vert="horz"/>
          <a:lstStyle/>
          <a:p>
            <a:pPr>
              <a:defRPr sz="1600"/>
            </a:pPr>
            <a:endParaRPr lang="en-US"/>
          </a:p>
        </c:txPr>
        <c:crossAx val="399194376"/>
        <c:crosses val="autoZero"/>
        <c:crossBetween val="between"/>
      </c:valAx>
      <c:spPr>
        <a:solidFill>
          <a:srgbClr val="FFFFFF"/>
        </a:solidFill>
        <a:ln w="12700">
          <a:solidFill>
            <a:srgbClr val="FFFFFF"/>
          </a:solidFill>
          <a:prstDash val="solid"/>
        </a:ln>
      </c:spPr>
    </c:plotArea>
    <c:plotVisOnly val="1"/>
    <c:dispBlanksAs val="gap"/>
    <c:showDLblsOverMax val="0"/>
  </c:chart>
  <c:spPr>
    <a:solidFill>
      <a:srgbClr val="FFFFFF"/>
    </a:solidFill>
    <a:ln w="25400">
      <a:noFill/>
      <a:prstDash val="solid"/>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4FAC1F458983429A95E7BBD697001E" ma:contentTypeVersion="2" ma:contentTypeDescription="Create a new document." ma:contentTypeScope="" ma:versionID="419a9ec1be3433c4ae9505adfec28e94">
  <xsd:schema xmlns:xsd="http://www.w3.org/2001/XMLSchema" xmlns:xs="http://www.w3.org/2001/XMLSchema" xmlns:p="http://schemas.microsoft.com/office/2006/metadata/properties" xmlns:ns1="http://schemas.microsoft.com/sharepoint/v3" targetNamespace="http://schemas.microsoft.com/office/2006/metadata/properties" ma:root="true" ma:fieldsID="d48a902f5c18b371177e97358bed77e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2BFA1-1C91-4E21-91E4-6B0873A6B86A}"/>
</file>

<file path=customXml/itemProps2.xml><?xml version="1.0" encoding="utf-8"?>
<ds:datastoreItem xmlns:ds="http://schemas.openxmlformats.org/officeDocument/2006/customXml" ds:itemID="{9EB11238-61E0-4D1E-B082-781FDBD5AB6B}"/>
</file>

<file path=customXml/itemProps3.xml><?xml version="1.0" encoding="utf-8"?>
<ds:datastoreItem xmlns:ds="http://schemas.openxmlformats.org/officeDocument/2006/customXml" ds:itemID="{AAD41C87-BC7C-4179-A3B3-3B1D422F7446}"/>
</file>

<file path=customXml/itemProps4.xml><?xml version="1.0" encoding="utf-8"?>
<ds:datastoreItem xmlns:ds="http://schemas.openxmlformats.org/officeDocument/2006/customXml" ds:itemID="{D5B43C69-7486-49B6-8437-EF0098DCFE4A}"/>
</file>

<file path=customXml/itemProps5.xml><?xml version="1.0" encoding="utf-8"?>
<ds:datastoreItem xmlns:ds="http://schemas.openxmlformats.org/officeDocument/2006/customXml" ds:itemID="{CF115962-D86B-456C-BB53-D5CB780F183A}"/>
</file>

<file path=docProps/app.xml><?xml version="1.0" encoding="utf-8"?>
<Properties xmlns="http://schemas.openxmlformats.org/officeDocument/2006/extended-properties" xmlns:vt="http://schemas.openxmlformats.org/officeDocument/2006/docPropsVTypes">
  <Template>Normal</Template>
  <TotalTime>0</TotalTime>
  <Pages>1</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FY16 CJ</vt:lpstr>
    </vt:vector>
  </TitlesOfParts>
  <LinksUpToDate>false</LinksUpToDate>
  <CharactersWithSpaces>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FY16 CJ</dc:title>
  <dc:subject>Congressional Justification for Buildings and Facilities in 2016</dc:subject>
  <dc:creator/>
  <cp:lastModifiedBy/>
  <cp:revision>1</cp:revision>
  <dcterms:created xsi:type="dcterms:W3CDTF">2016-02-23T20:03:00Z</dcterms:created>
  <dcterms:modified xsi:type="dcterms:W3CDTF">2016-02-23T20:58:00Z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0x010100324FAC1F458983429A95E7BBD697001E</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display_urn">
    <vt:lpwstr>System Account</vt:lpwstr>
  </property>
</Properties>
</file>