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7707" w14:textId="179EF63D" w:rsidR="00AE70D1" w:rsidRDefault="00AE70D1">
      <w:pPr>
        <w:pStyle w:val="BodyText"/>
        <w:spacing w:before="6"/>
        <w:rPr>
          <w:sz w:val="12"/>
        </w:rPr>
      </w:pPr>
    </w:p>
    <w:p w14:paraId="23373218" w14:textId="77777777" w:rsidR="00AE70D1" w:rsidRPr="008E275D" w:rsidRDefault="00A463BF">
      <w:pPr>
        <w:pStyle w:val="Heading1"/>
        <w:spacing w:before="36" w:line="259" w:lineRule="auto"/>
        <w:ind w:left="3500" w:right="316" w:hanging="3143"/>
        <w:rPr>
          <w:b/>
          <w:bCs/>
        </w:rPr>
      </w:pPr>
      <w:bookmarkStart w:id="0" w:name="IC_Guide_to_Design_&amp;_Construction_Workfl"/>
      <w:bookmarkEnd w:id="0"/>
      <w:r w:rsidRPr="008E275D">
        <w:rPr>
          <w:b/>
          <w:bCs/>
        </w:rPr>
        <w:t>IC Guide to Design &amp; Construction Workflow with Project Officer &amp; IC POC Responsibilities</w:t>
      </w:r>
    </w:p>
    <w:p w14:paraId="17898170" w14:textId="77777777" w:rsidR="00AE70D1" w:rsidRPr="00217425" w:rsidRDefault="00AE70D1">
      <w:pPr>
        <w:pStyle w:val="BodyText"/>
        <w:spacing w:before="9"/>
        <w:rPr>
          <w:rFonts w:ascii="Calibri Light"/>
          <w:sz w:val="36"/>
        </w:rPr>
      </w:pPr>
    </w:p>
    <w:p w14:paraId="11375A71" w14:textId="77777777" w:rsidR="00AE70D1" w:rsidRPr="00EB3AE8" w:rsidRDefault="00A463BF">
      <w:pPr>
        <w:pStyle w:val="Heading2"/>
        <w:rPr>
          <w:b/>
          <w:bCs/>
        </w:rPr>
      </w:pPr>
      <w:r w:rsidRPr="00EB3AE8">
        <w:rPr>
          <w:b/>
          <w:bCs/>
          <w:color w:val="5A5A5A"/>
        </w:rPr>
        <w:t>Step I. Submitting a Work Request / Project Planning</w:t>
      </w:r>
    </w:p>
    <w:p w14:paraId="13954FBC" w14:textId="77777777" w:rsidR="00AE70D1" w:rsidRPr="00217425" w:rsidRDefault="00AE70D1">
      <w:pPr>
        <w:pStyle w:val="BodyText"/>
        <w:spacing w:before="1"/>
        <w:rPr>
          <w:rFonts w:ascii="Calibri"/>
          <w:sz w:val="36"/>
        </w:rPr>
      </w:pPr>
    </w:p>
    <w:p w14:paraId="622098FD" w14:textId="398FEA05" w:rsidR="00AE70D1" w:rsidRPr="00217425" w:rsidRDefault="00A463BF">
      <w:pPr>
        <w:pStyle w:val="BodyText"/>
        <w:ind w:left="120" w:right="117"/>
      </w:pPr>
      <w:r w:rsidRPr="00217425">
        <w:t xml:space="preserve">Submit a work request online at </w:t>
      </w:r>
      <w:r w:rsidR="006240A1">
        <w:rPr>
          <w:rStyle w:val="ui-provider"/>
        </w:rPr>
        <w:t>or (</w:t>
      </w:r>
      <w:r w:rsidR="006240A1" w:rsidRPr="006240A1">
        <w:rPr>
          <w:rStyle w:val="ui-provider"/>
          <w:color w:val="1F497D" w:themeColor="text2"/>
          <w:u w:val="single"/>
        </w:rPr>
        <w:t>iwms.nih.gov</w:t>
      </w:r>
      <w:r w:rsidR="006240A1">
        <w:rPr>
          <w:rStyle w:val="ui-provider"/>
        </w:rPr>
        <w:t>)</w:t>
      </w:r>
      <w:r w:rsidRPr="00217425">
        <w:t>. The deadlines to request construction projects for the year are listed at the top of the webpage. These dates change each fiscal year and vary based on the cost of the project. When filling out a work request, it is important to note that the IC Point of Contact (IC POC) will make decisions regarding project funding and the scope of work on behalf of the IC. After your request has been received, it will be assigned to a Project Officer (PO) who will contact the IC POC to arrange a kick-off meeting and gather information about the scope of</w:t>
      </w:r>
      <w:r w:rsidRPr="00217425">
        <w:rPr>
          <w:spacing w:val="-17"/>
        </w:rPr>
        <w:t xml:space="preserve"> </w:t>
      </w:r>
      <w:r w:rsidRPr="00217425">
        <w:t>work.</w:t>
      </w:r>
    </w:p>
    <w:p w14:paraId="179A1CDF" w14:textId="77777777" w:rsidR="00AE70D1" w:rsidRPr="00217425" w:rsidRDefault="00AE70D1">
      <w:pPr>
        <w:pStyle w:val="BodyText"/>
        <w:spacing w:before="10"/>
        <w:rPr>
          <w:sz w:val="21"/>
        </w:rPr>
      </w:pPr>
    </w:p>
    <w:p w14:paraId="0E524D43" w14:textId="1645D1DD" w:rsidR="00AE70D1" w:rsidRPr="00217425" w:rsidRDefault="00A463BF">
      <w:pPr>
        <w:pStyle w:val="BodyText"/>
        <w:spacing w:before="1"/>
        <w:ind w:left="120" w:right="165"/>
      </w:pPr>
      <w:r w:rsidRPr="00217425">
        <w:t xml:space="preserve">The PO and the IC POC will work together to develop a project plan which includes a Free Estimate </w:t>
      </w:r>
      <w:r w:rsidR="00DF044C" w:rsidRPr="00217425">
        <w:rPr>
          <w:i/>
          <w:color w:val="4471C4"/>
          <w:sz w:val="24"/>
        </w:rPr>
        <w:t xml:space="preserve">(See Attachment 1), </w:t>
      </w:r>
      <w:r w:rsidRPr="00217425">
        <w:t>which includes rough estimates of the schedule, scope of work, and design and/or construction costs. The information in this estimate should not be considered final and is only meant to serve as a guide for project development</w:t>
      </w:r>
      <w:r w:rsidRPr="00217425">
        <w:rPr>
          <w:i/>
          <w:color w:val="4471C4"/>
          <w:sz w:val="24"/>
        </w:rPr>
        <w:t xml:space="preserve">. </w:t>
      </w:r>
      <w:r w:rsidRPr="00217425">
        <w:t>The time it takes to develop the project plan is based on the size, complexity and development of the scope provided by the user.</w:t>
      </w:r>
    </w:p>
    <w:p w14:paraId="066ACA4D" w14:textId="77777777" w:rsidR="00AE70D1" w:rsidRPr="00217425" w:rsidRDefault="00AE70D1">
      <w:pPr>
        <w:pStyle w:val="BodyText"/>
      </w:pPr>
    </w:p>
    <w:p w14:paraId="49DF9FF9" w14:textId="77777777" w:rsidR="00AE70D1" w:rsidRPr="00217425" w:rsidRDefault="00A463BF">
      <w:pPr>
        <w:pStyle w:val="BodyText"/>
        <w:spacing w:before="1"/>
        <w:ind w:left="119" w:right="266"/>
      </w:pPr>
      <w:r w:rsidRPr="00217425">
        <w:t>A Fee for Service (FFS) will be established with this plan and will be collected if the project continues. Your project plan will include a recommendation for contingency funds to cover any unforeseen conditions which may be encountered during the project. As we are not able to commit these funds, we are providing you this budget to set aside for use as issues arise. While the plan can be updated if necessary, the IC Fiscal Authority and the IC POC must sign off on the current project plan before the project can proceed and a detailed scope, Independent Government Estimate (IGE), and schedule can be developed. Once the final scope, IGE, and schedule are approved, the ORF Business Support Branch (BSB) will request a commitment.</w:t>
      </w:r>
    </w:p>
    <w:p w14:paraId="2308EF8C" w14:textId="77777777" w:rsidR="00F41A45" w:rsidRPr="00217425" w:rsidRDefault="00F41A45">
      <w:pPr>
        <w:pStyle w:val="BodyText"/>
        <w:spacing w:before="1"/>
        <w:ind w:left="119" w:right="266"/>
      </w:pPr>
    </w:p>
    <w:p w14:paraId="28DA8A67" w14:textId="77777777" w:rsidR="00F41A45" w:rsidRPr="00217425" w:rsidRDefault="00F41A45">
      <w:pPr>
        <w:pStyle w:val="BodyText"/>
        <w:spacing w:before="1"/>
        <w:ind w:left="119" w:right="266"/>
      </w:pPr>
      <w:r w:rsidRPr="00217425">
        <w:t xml:space="preserve">For the duration of the project, the PO will submit weekly updates to the IC POC and other interested parties.  The </w:t>
      </w:r>
      <w:bookmarkStart w:id="1" w:name="_Hlk126069142"/>
      <w:r w:rsidRPr="00217425">
        <w:t xml:space="preserve">project status can also be obtained by accessing the work request link above and once there, clicking on the Search Requests button.  </w:t>
      </w:r>
      <w:bookmarkEnd w:id="1"/>
      <w:r w:rsidRPr="00217425">
        <w:t>Then either pull up the project by work request number if known, or search by POC, location and/or PO.</w:t>
      </w:r>
    </w:p>
    <w:p w14:paraId="62FC6244" w14:textId="77777777" w:rsidR="00AE70D1" w:rsidRPr="00217425" w:rsidRDefault="00AE70D1">
      <w:pPr>
        <w:pStyle w:val="BodyText"/>
        <w:spacing w:before="11"/>
        <w:rPr>
          <w:sz w:val="21"/>
        </w:rPr>
      </w:pPr>
    </w:p>
    <w:p w14:paraId="0752A42C" w14:textId="77777777" w:rsidR="00AE70D1" w:rsidRPr="00EB3AE8" w:rsidRDefault="00A463BF">
      <w:pPr>
        <w:pStyle w:val="Heading2"/>
        <w:rPr>
          <w:b/>
          <w:bCs/>
        </w:rPr>
      </w:pPr>
      <w:r w:rsidRPr="00EB3AE8">
        <w:rPr>
          <w:b/>
          <w:bCs/>
          <w:color w:val="5A5A5A"/>
        </w:rPr>
        <w:t>Step II. Design</w:t>
      </w:r>
    </w:p>
    <w:p w14:paraId="0870DAD1" w14:textId="6E508662" w:rsidR="00AE70D1" w:rsidRPr="00217425" w:rsidRDefault="00A463BF">
      <w:pPr>
        <w:pStyle w:val="BodyText"/>
        <w:spacing w:before="187"/>
        <w:ind w:left="120" w:right="129"/>
      </w:pPr>
      <w:r w:rsidRPr="00217425">
        <w:t xml:space="preserve">The Office of Acquisitions (OA) will appoint a Contracting Officer (CO) to the project who will award a contract for the project design. The IC POC and the PO will meet with the project’s Architect/Engineer to discuss the program of requirements and to approve design drawings at each phase of development defined in the scope of work. Some projects may be good candidates for a design-build approach which means both the design and construction are under one contract. </w:t>
      </w:r>
      <w:r w:rsidR="006115CD" w:rsidRPr="00217425">
        <w:t>Other projects go through the Design – Bid - Build process depending on complexity and other factors. There</w:t>
      </w:r>
      <w:r w:rsidRPr="00217425">
        <w:t xml:space="preserve"> are pros and cons to th</w:t>
      </w:r>
      <w:r w:rsidR="006115CD" w:rsidRPr="00217425">
        <w:t>ese</w:t>
      </w:r>
      <w:r w:rsidRPr="00217425">
        <w:t xml:space="preserve"> approach</w:t>
      </w:r>
      <w:r w:rsidR="006115CD" w:rsidRPr="00217425">
        <w:t>es</w:t>
      </w:r>
      <w:r w:rsidRPr="00217425">
        <w:t xml:space="preserve"> and your PO will recommend which path they believe is the best fit for your project.</w:t>
      </w:r>
    </w:p>
    <w:p w14:paraId="6C874B8E" w14:textId="77777777" w:rsidR="00AE70D1" w:rsidRPr="00217425" w:rsidRDefault="00AE70D1">
      <w:pPr>
        <w:pStyle w:val="BodyText"/>
      </w:pPr>
    </w:p>
    <w:p w14:paraId="1D6A794E" w14:textId="77777777" w:rsidR="00AE70D1" w:rsidRPr="00217425" w:rsidRDefault="00A463BF">
      <w:pPr>
        <w:pStyle w:val="BodyText"/>
        <w:ind w:left="119" w:right="154"/>
      </w:pPr>
      <w:r w:rsidRPr="00217425">
        <w:rPr>
          <w:b/>
          <w:bCs/>
          <w:i/>
          <w:sz w:val="24"/>
        </w:rPr>
        <w:t>IC Responsibility</w:t>
      </w:r>
      <w:r w:rsidRPr="00217425">
        <w:rPr>
          <w:i/>
          <w:sz w:val="24"/>
        </w:rPr>
        <w:t xml:space="preserve"> </w:t>
      </w:r>
      <w:r w:rsidRPr="00217425">
        <w:rPr>
          <w:i/>
          <w:color w:val="1F497D" w:themeColor="text2"/>
          <w:sz w:val="24"/>
        </w:rPr>
        <w:t xml:space="preserve">(See Attachment 2): </w:t>
      </w:r>
      <w:r w:rsidRPr="00217425">
        <w:t>The IC should contact CIT to designate a representative who will help you coordinate tech concerns throughout the design process. The CIT rep should be included in design coordination meetings and will be included in all design reviews. The drawings developed for construction will be used by CIT to contract a vendor to provide wiring and connectivity for your project.</w:t>
      </w:r>
    </w:p>
    <w:p w14:paraId="18BC5C69" w14:textId="77777777" w:rsidR="00AE70D1" w:rsidRPr="00217425" w:rsidRDefault="00AE70D1">
      <w:pPr>
        <w:pStyle w:val="BodyText"/>
      </w:pPr>
    </w:p>
    <w:p w14:paraId="0D31EF08" w14:textId="77777777" w:rsidR="005C5DB6" w:rsidRPr="00217425" w:rsidRDefault="005C5DB6">
      <w:pPr>
        <w:pStyle w:val="Heading2"/>
        <w:rPr>
          <w:color w:val="5A5A5A"/>
        </w:rPr>
      </w:pPr>
    </w:p>
    <w:p w14:paraId="4FABB2F0" w14:textId="77777777" w:rsidR="00AE70D1" w:rsidRPr="00EB3AE8" w:rsidRDefault="00A463BF">
      <w:pPr>
        <w:pStyle w:val="Heading2"/>
        <w:rPr>
          <w:b/>
          <w:bCs/>
        </w:rPr>
      </w:pPr>
      <w:r w:rsidRPr="00EB3AE8">
        <w:rPr>
          <w:b/>
          <w:bCs/>
          <w:color w:val="5A5A5A"/>
        </w:rPr>
        <w:t>Step III. Pre-Construction</w:t>
      </w:r>
    </w:p>
    <w:p w14:paraId="08FC8166" w14:textId="047C1F9A" w:rsidR="00AE70D1" w:rsidRPr="00217425" w:rsidRDefault="00A463BF">
      <w:pPr>
        <w:pStyle w:val="BodyText"/>
        <w:spacing w:before="186"/>
        <w:ind w:left="120" w:right="318"/>
      </w:pPr>
      <w:r w:rsidRPr="00217425">
        <w:t>After design completion, the PO will develop a</w:t>
      </w:r>
      <w:r w:rsidR="004F2755" w:rsidRPr="00217425">
        <w:t>n acquisition package</w:t>
      </w:r>
      <w:r w:rsidRPr="00217425">
        <w:t xml:space="preserve"> </w:t>
      </w:r>
      <w:r w:rsidR="004F2755" w:rsidRPr="00217425">
        <w:t>(</w:t>
      </w:r>
      <w:r w:rsidRPr="00217425">
        <w:t>scope, IGE</w:t>
      </w:r>
      <w:r w:rsidR="004F2755" w:rsidRPr="00217425">
        <w:t xml:space="preserve"> </w:t>
      </w:r>
      <w:r w:rsidRPr="00217425">
        <w:t>and schedule</w:t>
      </w:r>
      <w:r w:rsidR="004F2755" w:rsidRPr="00217425">
        <w:t>)</w:t>
      </w:r>
      <w:r w:rsidRPr="00217425">
        <w:t xml:space="preserve"> for construction</w:t>
      </w:r>
      <w:r w:rsidR="004F2755" w:rsidRPr="00217425">
        <w:t xml:space="preserve"> </w:t>
      </w:r>
      <w:r w:rsidR="00563456" w:rsidRPr="00217425">
        <w:t xml:space="preserve">funding </w:t>
      </w:r>
      <w:r w:rsidR="004F2755" w:rsidRPr="00217425">
        <w:t>commitment</w:t>
      </w:r>
      <w:r w:rsidRPr="00217425">
        <w:t>. Once approved</w:t>
      </w:r>
      <w:r w:rsidR="004F2755" w:rsidRPr="00217425">
        <w:t xml:space="preserve"> by the IC</w:t>
      </w:r>
      <w:r w:rsidRPr="00217425">
        <w:t xml:space="preserve">, BSB will collect </w:t>
      </w:r>
      <w:r w:rsidR="004F2755" w:rsidRPr="00217425">
        <w:t>the</w:t>
      </w:r>
      <w:r w:rsidRPr="00217425">
        <w:t xml:space="preserve"> </w:t>
      </w:r>
      <w:r w:rsidR="00563456" w:rsidRPr="00217425">
        <w:t xml:space="preserve">funding </w:t>
      </w:r>
      <w:r w:rsidRPr="00217425">
        <w:t>commitment and the CO will award a contract for construction obligation.</w:t>
      </w:r>
    </w:p>
    <w:p w14:paraId="59FCE239" w14:textId="77777777" w:rsidR="00AE70D1" w:rsidRPr="00217425" w:rsidRDefault="00AE70D1"/>
    <w:p w14:paraId="557F7913" w14:textId="77777777" w:rsidR="00AE70D1" w:rsidRPr="00217425" w:rsidRDefault="00A463BF">
      <w:pPr>
        <w:pStyle w:val="BodyText"/>
        <w:spacing w:before="79"/>
        <w:ind w:left="119" w:right="397"/>
      </w:pPr>
      <w:r w:rsidRPr="00217425">
        <w:t>The PO will arrange a pre-construction meeting to further clarify project expectations, timelines, responsibilities, and communications plans. The IC POC should attend this meeting. All parties should make sure that they are clear on the project scope, schedule, and budget before construction begins.</w:t>
      </w:r>
    </w:p>
    <w:p w14:paraId="1654BBFA" w14:textId="77777777" w:rsidR="00AE70D1" w:rsidRPr="00217425" w:rsidRDefault="00AE70D1">
      <w:pPr>
        <w:pStyle w:val="BodyText"/>
        <w:spacing w:before="1"/>
      </w:pPr>
    </w:p>
    <w:p w14:paraId="4BBC12C7" w14:textId="77777777" w:rsidR="00AE70D1" w:rsidRPr="00217425" w:rsidRDefault="00A463BF">
      <w:pPr>
        <w:pStyle w:val="BodyText"/>
        <w:ind w:left="119" w:right="136"/>
      </w:pPr>
      <w:r w:rsidRPr="00217425">
        <w:rPr>
          <w:b/>
          <w:bCs/>
          <w:i/>
          <w:sz w:val="24"/>
        </w:rPr>
        <w:t>IC Responsibility</w:t>
      </w:r>
      <w:r w:rsidRPr="00217425">
        <w:rPr>
          <w:i/>
          <w:sz w:val="24"/>
        </w:rPr>
        <w:t xml:space="preserve">: </w:t>
      </w:r>
      <w:r w:rsidRPr="00217425">
        <w:t xml:space="preserve">The IC is responsible for contacting DOHS to clear any labs before construction begins. If abatement is needed, ORF will coordinate the procedures, but the IC </w:t>
      </w:r>
      <w:r w:rsidR="004F2755" w:rsidRPr="00217425">
        <w:t>may be</w:t>
      </w:r>
      <w:r w:rsidRPr="00217425">
        <w:t xml:space="preserve"> responsible for </w:t>
      </w:r>
      <w:r w:rsidR="004F2755" w:rsidRPr="00217425">
        <w:t>some of the</w:t>
      </w:r>
      <w:r w:rsidRPr="00217425">
        <w:t xml:space="preserve"> associated costs</w:t>
      </w:r>
      <w:r w:rsidR="004F2755" w:rsidRPr="00217425">
        <w:t xml:space="preserve"> (all currently covered by ORF)</w:t>
      </w:r>
      <w:r w:rsidRPr="00217425">
        <w:t>. If the IC has any hazardous materials as part of their existing or future equipment for the space, please contact DOHS for their assistance in planning for the equipment removal/placement as applicable.</w:t>
      </w:r>
    </w:p>
    <w:p w14:paraId="09293589" w14:textId="77777777" w:rsidR="00AE70D1" w:rsidRPr="00217425" w:rsidRDefault="00AE70D1">
      <w:pPr>
        <w:pStyle w:val="BodyText"/>
        <w:spacing w:before="10"/>
        <w:rPr>
          <w:sz w:val="21"/>
        </w:rPr>
      </w:pPr>
    </w:p>
    <w:p w14:paraId="0CF78910" w14:textId="77777777" w:rsidR="00AE70D1" w:rsidRPr="00EB3AE8" w:rsidRDefault="00A463BF">
      <w:pPr>
        <w:pStyle w:val="Heading2"/>
        <w:spacing w:before="1"/>
        <w:rPr>
          <w:b/>
          <w:bCs/>
        </w:rPr>
      </w:pPr>
      <w:r w:rsidRPr="00EB3AE8">
        <w:rPr>
          <w:b/>
          <w:bCs/>
          <w:color w:val="5A5A5A"/>
        </w:rPr>
        <w:t>Step IV. Construction</w:t>
      </w:r>
    </w:p>
    <w:p w14:paraId="0F51D872" w14:textId="77777777" w:rsidR="00AE70D1" w:rsidRPr="00217425" w:rsidRDefault="00A463BF">
      <w:pPr>
        <w:pStyle w:val="BodyText"/>
        <w:spacing w:before="187"/>
        <w:ind w:left="120" w:right="366"/>
      </w:pPr>
      <w:r w:rsidRPr="00217425">
        <w:t xml:space="preserve">The PO will hold </w:t>
      </w:r>
      <w:r w:rsidR="004F2755" w:rsidRPr="00217425">
        <w:t>bi</w:t>
      </w:r>
      <w:r w:rsidRPr="00217425">
        <w:t xml:space="preserve">weekly </w:t>
      </w:r>
      <w:r w:rsidR="004F2755" w:rsidRPr="00217425">
        <w:t xml:space="preserve">(or other duration) </w:t>
      </w:r>
      <w:r w:rsidRPr="00217425">
        <w:t>progress meetings once construction begins. Any modifications to the project scope during construction must be processed through the PO and CO.</w:t>
      </w:r>
    </w:p>
    <w:p w14:paraId="51E958A4" w14:textId="77777777" w:rsidR="00AE70D1" w:rsidRPr="00217425" w:rsidRDefault="00AE70D1">
      <w:pPr>
        <w:pStyle w:val="BodyText"/>
      </w:pPr>
    </w:p>
    <w:p w14:paraId="73A5F41E" w14:textId="224052DE" w:rsidR="00AE70D1" w:rsidRPr="00217425" w:rsidRDefault="00A463BF" w:rsidP="006B0452">
      <w:pPr>
        <w:pStyle w:val="BodyText"/>
        <w:ind w:left="119"/>
      </w:pPr>
      <w:r w:rsidRPr="00217425">
        <w:rPr>
          <w:b/>
          <w:bCs/>
          <w:i/>
          <w:sz w:val="24"/>
        </w:rPr>
        <w:t>IC Responsibility</w:t>
      </w:r>
      <w:r w:rsidRPr="00217425">
        <w:rPr>
          <w:i/>
          <w:sz w:val="24"/>
        </w:rPr>
        <w:t xml:space="preserve">: </w:t>
      </w:r>
      <w:r w:rsidRPr="00217425">
        <w:t xml:space="preserve">The IC POC must stay involved </w:t>
      </w:r>
      <w:r w:rsidR="006B0452" w:rsidRPr="00217425">
        <w:t>through</w:t>
      </w:r>
      <w:r w:rsidRPr="00217425">
        <w:t xml:space="preserve"> progress meetings to know when additional orders will need to be submitted to NBS</w:t>
      </w:r>
      <w:r w:rsidR="006B0452" w:rsidRPr="00217425">
        <w:t xml:space="preserve">. </w:t>
      </w:r>
      <w:r w:rsidR="006B0452" w:rsidRPr="00217425">
        <w:rPr>
          <w:color w:val="1F497D" w:themeColor="text2"/>
        </w:rPr>
        <w:t>See Attachment 2, Paragraph 6</w:t>
      </w:r>
      <w:r w:rsidR="006B0452" w:rsidRPr="00217425">
        <w:t>, for additional information</w:t>
      </w:r>
      <w:bookmarkStart w:id="2" w:name="_Hlk126069843"/>
      <w:r w:rsidR="006115CD" w:rsidRPr="00217425">
        <w:t>.</w:t>
      </w:r>
    </w:p>
    <w:bookmarkEnd w:id="2"/>
    <w:p w14:paraId="40930E45" w14:textId="77777777" w:rsidR="00AE70D1" w:rsidRPr="00217425" w:rsidRDefault="00AE70D1">
      <w:pPr>
        <w:pStyle w:val="BodyText"/>
        <w:spacing w:before="1"/>
      </w:pPr>
    </w:p>
    <w:p w14:paraId="64975225" w14:textId="77777777" w:rsidR="00AE70D1" w:rsidRPr="00EB3AE8" w:rsidRDefault="00A463BF">
      <w:pPr>
        <w:pStyle w:val="Heading2"/>
        <w:rPr>
          <w:b/>
          <w:bCs/>
        </w:rPr>
      </w:pPr>
      <w:bookmarkStart w:id="3" w:name="_Hlk162518847"/>
      <w:r w:rsidRPr="00EB3AE8">
        <w:rPr>
          <w:b/>
          <w:bCs/>
          <w:color w:val="5A5A5A"/>
        </w:rPr>
        <w:t>Step V. Post-Construction</w:t>
      </w:r>
    </w:p>
    <w:p w14:paraId="1C37308F" w14:textId="77777777" w:rsidR="00AE70D1" w:rsidRDefault="00A463BF">
      <w:pPr>
        <w:pStyle w:val="BodyText"/>
        <w:spacing w:before="186"/>
        <w:ind w:left="120" w:right="184"/>
      </w:pPr>
      <w:r w:rsidRPr="00217425">
        <w:t>After construction, the IC POC and Project Officer will walk the site and create a punch list of any remaining construction issues to be done. Once the items on the punch list have been completed, then the IC POC will give a final sign off on the project.</w:t>
      </w:r>
      <w:r w:rsidR="00CE691A" w:rsidRPr="00217425">
        <w:t xml:space="preserve">  The PO will coordinate the final inspection with the Fire Marshal to obtain the Occupancy Permit.</w:t>
      </w:r>
    </w:p>
    <w:p w14:paraId="5983F7DE" w14:textId="77777777" w:rsidR="00A2741B" w:rsidRDefault="0091530A" w:rsidP="00A2741B">
      <w:pPr>
        <w:ind w:left="120"/>
      </w:pPr>
      <w:r>
        <w:t xml:space="preserve">The PO is responsible to initiate a housekeeping ticket after construction for service to resume to the space. </w:t>
      </w:r>
      <w:r w:rsidR="00A2741B" w:rsidRPr="00A2741B">
        <w:t xml:space="preserve">Additionally, The PO will engage DEP to restart recycling services.  Contact the DEP Solid Waste COR (currently Mansi Mehta) indicating the request and the location (building, wing, rooms, etc.) and copy the alternate COR (currently Joseph Stefan), and the recycling coordinator (currently Surakshya Pathak). </w:t>
      </w:r>
    </w:p>
    <w:p w14:paraId="5590DC72" w14:textId="77777777" w:rsidR="00A2741B" w:rsidRDefault="00A2741B" w:rsidP="00A2741B">
      <w:pPr>
        <w:ind w:left="120"/>
      </w:pPr>
    </w:p>
    <w:p w14:paraId="0A81EBF7" w14:textId="468C1B57" w:rsidR="00A2741B" w:rsidRDefault="00A2741B" w:rsidP="00A2741B">
      <w:pPr>
        <w:ind w:left="120"/>
      </w:pPr>
      <w:r w:rsidRPr="00A2741B">
        <w:t> To further assist, the room should be updated in FIMS</w:t>
      </w:r>
      <w:r>
        <w:t xml:space="preserve"> by that Team,</w:t>
      </w:r>
      <w:r w:rsidRPr="00A2741B">
        <w:t xml:space="preserve"> as well to refer to for the impacted area in which collection containers are needed, this will help with our planning/placement along with site</w:t>
      </w:r>
      <w:r>
        <w:t xml:space="preserve"> w</w:t>
      </w:r>
      <w:r w:rsidRPr="00A2741B">
        <w:t>alkthroughs.  The containers can be the blue bins for rooms, or large recycling containers for hallways.</w:t>
      </w:r>
    </w:p>
    <w:bookmarkEnd w:id="3"/>
    <w:p w14:paraId="0C4E8CA2" w14:textId="77777777" w:rsidR="00AE70D1" w:rsidRDefault="00AE70D1">
      <w:pPr>
        <w:pStyle w:val="BodyText"/>
        <w:spacing w:before="1"/>
      </w:pPr>
    </w:p>
    <w:p w14:paraId="3CE60C12" w14:textId="531ECF83" w:rsidR="00BB3F04" w:rsidRPr="006B0452" w:rsidRDefault="00A463BF" w:rsidP="006B0452">
      <w:pPr>
        <w:pStyle w:val="BodyText"/>
        <w:spacing w:before="1"/>
        <w:ind w:left="119" w:right="316"/>
      </w:pPr>
      <w:r w:rsidRPr="00C038C3">
        <w:rPr>
          <w:b/>
          <w:bCs/>
          <w:i/>
          <w:sz w:val="24"/>
        </w:rPr>
        <w:t>IC Responsibility</w:t>
      </w:r>
      <w:r w:rsidRPr="00C038C3">
        <w:rPr>
          <w:i/>
          <w:sz w:val="24"/>
        </w:rPr>
        <w:t xml:space="preserve">: </w:t>
      </w:r>
      <w:r>
        <w:t>The IC POC is responsible for contacting DOHS to arrange a walkthrough of lab spaces.</w:t>
      </w:r>
    </w:p>
    <w:p w14:paraId="6069E8E7" w14:textId="77777777" w:rsidR="00BB3F04" w:rsidRDefault="00BB3F04">
      <w:pPr>
        <w:pStyle w:val="Heading2"/>
        <w:rPr>
          <w:color w:val="5A5A5A"/>
        </w:rPr>
      </w:pPr>
    </w:p>
    <w:p w14:paraId="5A18C201" w14:textId="77777777" w:rsidR="00AE70D1" w:rsidRPr="00EB3AE8" w:rsidRDefault="00A463BF">
      <w:pPr>
        <w:pStyle w:val="Heading2"/>
        <w:rPr>
          <w:b/>
          <w:bCs/>
        </w:rPr>
      </w:pPr>
      <w:r w:rsidRPr="00EB3AE8">
        <w:rPr>
          <w:b/>
          <w:bCs/>
          <w:color w:val="5A5A5A"/>
        </w:rPr>
        <w:t>Step VI. Moves</w:t>
      </w:r>
    </w:p>
    <w:p w14:paraId="02D78346" w14:textId="77777777" w:rsidR="00AE70D1" w:rsidRDefault="00A463BF">
      <w:pPr>
        <w:pStyle w:val="BodyText"/>
        <w:spacing w:before="188"/>
        <w:ind w:left="119" w:right="109"/>
      </w:pPr>
      <w:r w:rsidRPr="00C038C3">
        <w:rPr>
          <w:b/>
          <w:bCs/>
          <w:i/>
          <w:sz w:val="24"/>
        </w:rPr>
        <w:t>IC Responsibility</w:t>
      </w:r>
      <w:r w:rsidRPr="00C038C3">
        <w:rPr>
          <w:i/>
          <w:sz w:val="24"/>
        </w:rPr>
        <w:t xml:space="preserve">: </w:t>
      </w:r>
      <w:r>
        <w:t>The IC POC is responsible for coordinating the move process. This includes arranging furniture deliveries, moving services, CIT concerns, and other parts of the process during and after construction. Designate a move coordinator to work with the Fiscal Authority and decide the role of NIH movers as you plan ahead. It is recommended that you schedule a pre-move briefing with all relevant stakeholders and include a CIT representative in your meetings to address technical concerns.</w:t>
      </w:r>
    </w:p>
    <w:p w14:paraId="20D3BEEB" w14:textId="77777777" w:rsidR="00AE70D1" w:rsidRDefault="00AE70D1"/>
    <w:p w14:paraId="764FF079" w14:textId="77777777" w:rsidR="00AE70D1" w:rsidRDefault="00A463BF">
      <w:pPr>
        <w:pStyle w:val="BodyText"/>
        <w:spacing w:before="79"/>
        <w:ind w:left="119" w:right="1035"/>
      </w:pPr>
      <w:r>
        <w:t>Different steps of the moves process will need to be arranged at different times during and after construction. Some of the steps that you will need to take include the following:</w:t>
      </w:r>
    </w:p>
    <w:p w14:paraId="73C93E27" w14:textId="77777777" w:rsidR="00AE70D1" w:rsidRDefault="00AE70D1">
      <w:pPr>
        <w:pStyle w:val="BodyText"/>
      </w:pPr>
    </w:p>
    <w:p w14:paraId="0A62431A" w14:textId="77777777" w:rsidR="00AE70D1" w:rsidRDefault="00A463BF" w:rsidP="00BB3F04">
      <w:pPr>
        <w:pStyle w:val="ListParagraph"/>
        <w:numPr>
          <w:ilvl w:val="0"/>
          <w:numId w:val="2"/>
        </w:numPr>
        <w:tabs>
          <w:tab w:val="left" w:pos="972"/>
        </w:tabs>
        <w:ind w:right="322"/>
      </w:pPr>
      <w:r>
        <w:t xml:space="preserve">Enter an NIH help desk ticket one week prior to moving for the IC’s LAN support department </w:t>
      </w:r>
      <w:r w:rsidR="00BB3F04">
        <w:t xml:space="preserve">     </w:t>
      </w:r>
      <w:r>
        <w:t>to be able to set up computers on the day of the move. IT does not move</w:t>
      </w:r>
      <w:r>
        <w:rPr>
          <w:spacing w:val="-24"/>
        </w:rPr>
        <w:t xml:space="preserve"> </w:t>
      </w:r>
      <w:r>
        <w:t>computers.</w:t>
      </w:r>
    </w:p>
    <w:p w14:paraId="76B4E355" w14:textId="77777777" w:rsidR="00AE70D1" w:rsidRDefault="00A463BF" w:rsidP="00BB3F04">
      <w:pPr>
        <w:pStyle w:val="ListParagraph"/>
        <w:numPr>
          <w:ilvl w:val="0"/>
          <w:numId w:val="2"/>
        </w:numPr>
        <w:tabs>
          <w:tab w:val="left" w:pos="972"/>
        </w:tabs>
      </w:pPr>
      <w:r>
        <w:t>Notify NIH recycling services 2-4 weeks prior to move for</w:t>
      </w:r>
      <w:r>
        <w:rPr>
          <w:spacing w:val="-10"/>
        </w:rPr>
        <w:t xml:space="preserve"> </w:t>
      </w:r>
      <w:r>
        <w:t>recycling.</w:t>
      </w:r>
    </w:p>
    <w:p w14:paraId="14821823" w14:textId="77777777" w:rsidR="00AE70D1" w:rsidRDefault="00A463BF" w:rsidP="00BB3F04">
      <w:pPr>
        <w:pStyle w:val="ListParagraph"/>
        <w:numPr>
          <w:ilvl w:val="0"/>
          <w:numId w:val="2"/>
        </w:numPr>
        <w:tabs>
          <w:tab w:val="left" w:pos="972"/>
        </w:tabs>
        <w:spacing w:before="1"/>
      </w:pPr>
      <w:r>
        <w:t>Schedule trash collection services at the new location—a schedule may not be in your</w:t>
      </w:r>
      <w:r>
        <w:rPr>
          <w:spacing w:val="-35"/>
        </w:rPr>
        <w:t xml:space="preserve"> </w:t>
      </w:r>
      <w:r>
        <w:t>contract.</w:t>
      </w:r>
    </w:p>
    <w:p w14:paraId="5DE4ABB0" w14:textId="032E2A27" w:rsidR="00AE70D1" w:rsidRDefault="00A463BF" w:rsidP="00BB3F04">
      <w:pPr>
        <w:pStyle w:val="ListParagraph"/>
        <w:numPr>
          <w:ilvl w:val="0"/>
          <w:numId w:val="2"/>
        </w:numPr>
        <w:tabs>
          <w:tab w:val="left" w:pos="972"/>
        </w:tabs>
        <w:spacing w:line="253" w:lineRule="exact"/>
      </w:pPr>
      <w:r>
        <w:t>Furniture—Order in advance to be prepared for</w:t>
      </w:r>
      <w:r>
        <w:rPr>
          <w:spacing w:val="-8"/>
        </w:rPr>
        <w:t xml:space="preserve"> </w:t>
      </w:r>
      <w:r>
        <w:t>delivery.</w:t>
      </w:r>
      <w:r w:rsidR="0090442E">
        <w:t xml:space="preserve"> Check market conditions for long lead time items.</w:t>
      </w:r>
    </w:p>
    <w:p w14:paraId="289B68E3" w14:textId="77777777" w:rsidR="00AE70D1" w:rsidRDefault="00A463BF" w:rsidP="00BB3F04">
      <w:pPr>
        <w:pStyle w:val="ListParagraph"/>
        <w:numPr>
          <w:ilvl w:val="0"/>
          <w:numId w:val="2"/>
        </w:numPr>
        <w:tabs>
          <w:tab w:val="left" w:pos="972"/>
        </w:tabs>
        <w:spacing w:line="253" w:lineRule="exact"/>
      </w:pPr>
      <w:r>
        <w:t>Surplus unneeded equipment 4-6 weeks before relocation if</w:t>
      </w:r>
      <w:r>
        <w:rPr>
          <w:spacing w:val="-8"/>
        </w:rPr>
        <w:t xml:space="preserve"> </w:t>
      </w:r>
      <w:r>
        <w:t>practical.</w:t>
      </w:r>
    </w:p>
    <w:p w14:paraId="6D13A028" w14:textId="77777777" w:rsidR="00AE70D1" w:rsidRDefault="00A463BF" w:rsidP="00BB3F04">
      <w:pPr>
        <w:pStyle w:val="ListParagraph"/>
        <w:numPr>
          <w:ilvl w:val="0"/>
          <w:numId w:val="2"/>
        </w:numPr>
        <w:tabs>
          <w:tab w:val="left" w:pos="972"/>
        </w:tabs>
      </w:pPr>
      <w:r>
        <w:t>Request new mailbox and mailstop</w:t>
      </w:r>
      <w:r>
        <w:rPr>
          <w:spacing w:val="-3"/>
        </w:rPr>
        <w:t xml:space="preserve"> </w:t>
      </w:r>
      <w:r>
        <w:t>codes</w:t>
      </w:r>
    </w:p>
    <w:p w14:paraId="24F41A9D" w14:textId="77777777" w:rsidR="00BB3F04" w:rsidRDefault="00BB3F04" w:rsidP="00BB3F04">
      <w:pPr>
        <w:pStyle w:val="ListParagraph"/>
        <w:tabs>
          <w:tab w:val="left" w:pos="972"/>
        </w:tabs>
        <w:ind w:left="840" w:firstLine="0"/>
      </w:pPr>
    </w:p>
    <w:p w14:paraId="43ADCB15" w14:textId="77777777" w:rsidR="00AE70D1" w:rsidRDefault="00AE70D1">
      <w:pPr>
        <w:pStyle w:val="BodyText"/>
      </w:pPr>
    </w:p>
    <w:p w14:paraId="7D54BA7E" w14:textId="77777777" w:rsidR="00AE70D1" w:rsidRPr="00EB3AE8" w:rsidRDefault="00A463BF">
      <w:pPr>
        <w:pStyle w:val="Heading2"/>
        <w:rPr>
          <w:b/>
          <w:bCs/>
        </w:rPr>
      </w:pPr>
      <w:r w:rsidRPr="00EB3AE8">
        <w:rPr>
          <w:b/>
          <w:bCs/>
          <w:color w:val="5A5A5A"/>
        </w:rPr>
        <w:t>Step VII. Escalation</w:t>
      </w:r>
    </w:p>
    <w:p w14:paraId="36837A1F" w14:textId="07D5B2D9" w:rsidR="00AE70D1" w:rsidRDefault="00A463BF">
      <w:pPr>
        <w:pStyle w:val="BodyText"/>
        <w:spacing w:before="187"/>
        <w:ind w:left="120" w:right="415"/>
      </w:pPr>
      <w:r>
        <w:t xml:space="preserve">Consult your PO to address issues that arise during construction. If you are unable to resolve the issue, elevate to </w:t>
      </w:r>
      <w:r w:rsidR="00EC669C">
        <w:t xml:space="preserve">the </w:t>
      </w:r>
      <w:r w:rsidR="006B0452">
        <w:t xml:space="preserve">appropriate </w:t>
      </w:r>
      <w:r>
        <w:t>Branch Chief</w:t>
      </w:r>
      <w:r w:rsidR="006B0452">
        <w:t xml:space="preserve"> within the </w:t>
      </w:r>
      <w:r w:rsidR="006B0452" w:rsidRPr="006B0452">
        <w:t>Division of Design and Construction Management (DDCM)</w:t>
      </w:r>
      <w:r w:rsidR="006B0452">
        <w:t>.</w:t>
      </w:r>
    </w:p>
    <w:p w14:paraId="6CF0C4F6" w14:textId="77777777" w:rsidR="00AE70D1" w:rsidRDefault="00AE70D1">
      <w:pPr>
        <w:pStyle w:val="BodyText"/>
      </w:pPr>
    </w:p>
    <w:p w14:paraId="2A724B63" w14:textId="7B6AC9BE" w:rsidR="00EC669C" w:rsidRDefault="00A463BF" w:rsidP="00EC669C">
      <w:pPr>
        <w:pStyle w:val="BodyText"/>
        <w:ind w:left="119"/>
      </w:pPr>
      <w:r>
        <w:t xml:space="preserve">If unsuccessful, elevate to </w:t>
      </w:r>
      <w:r w:rsidR="006B0452">
        <w:t xml:space="preserve">DDCM </w:t>
      </w:r>
      <w:r>
        <w:t xml:space="preserve">Director </w:t>
      </w:r>
      <w:r w:rsidR="00EC669C">
        <w:t xml:space="preserve">Rick Robey </w:t>
      </w:r>
      <w:hyperlink r:id="rId10" w:history="1">
        <w:r w:rsidR="00EC669C" w:rsidRPr="000174CF">
          <w:rPr>
            <w:rStyle w:val="Hyperlink"/>
          </w:rPr>
          <w:t>rick.robey@nih.gov</w:t>
        </w:r>
      </w:hyperlink>
    </w:p>
    <w:p w14:paraId="1CB0BFD3" w14:textId="77777777" w:rsidR="00EC669C" w:rsidRDefault="00EC669C" w:rsidP="00EC669C">
      <w:pPr>
        <w:pStyle w:val="BodyText"/>
        <w:ind w:left="119"/>
      </w:pPr>
    </w:p>
    <w:p w14:paraId="1460E056" w14:textId="1A099F99" w:rsidR="00AE70D1" w:rsidRDefault="00EC669C" w:rsidP="00EC669C">
      <w:pPr>
        <w:pStyle w:val="BodyText"/>
        <w:ind w:left="119"/>
      </w:pPr>
      <w:r>
        <w:t>If unsu</w:t>
      </w:r>
      <w:r w:rsidR="00A463BF">
        <w:t xml:space="preserve">ccessful, elevate to ORF Director Dan Wheeland </w:t>
      </w:r>
      <w:hyperlink r:id="rId11" w:history="1">
        <w:r w:rsidR="00EB3AE8" w:rsidRPr="008E275D">
          <w:rPr>
            <w:rStyle w:val="Hyperlink"/>
            <w:color w:val="0070C0"/>
          </w:rPr>
          <w:t>dan.wheeland@nilh.gov</w:t>
        </w:r>
      </w:hyperlink>
    </w:p>
    <w:p w14:paraId="638B1104" w14:textId="417CF709" w:rsidR="00AE70D1" w:rsidRPr="008E275D" w:rsidRDefault="00A463BF">
      <w:pPr>
        <w:pStyle w:val="BodyText"/>
        <w:ind w:left="120"/>
      </w:pPr>
      <w:r>
        <w:rPr>
          <w:rFonts w:ascii="Calibri"/>
        </w:rPr>
        <w:t>or Lem Canady</w:t>
      </w:r>
      <w:r w:rsidR="00EB3AE8">
        <w:rPr>
          <w:rFonts w:ascii="Calibri"/>
        </w:rPr>
        <w:t xml:space="preserve"> </w:t>
      </w:r>
      <w:hyperlink r:id="rId12" w:history="1">
        <w:r w:rsidR="00EB3AE8" w:rsidRPr="008E275D">
          <w:rPr>
            <w:rStyle w:val="Hyperlink"/>
          </w:rPr>
          <w:t>lemual.canady@nih.gov</w:t>
        </w:r>
      </w:hyperlink>
    </w:p>
    <w:p w14:paraId="3CB1B05C" w14:textId="77777777" w:rsidR="00EB3AE8" w:rsidRDefault="00EB3AE8">
      <w:pPr>
        <w:pStyle w:val="BodyText"/>
        <w:ind w:left="120"/>
        <w:rPr>
          <w:rFonts w:ascii="Calibri"/>
          <w:color w:val="0562C1"/>
          <w:u w:val="single" w:color="0562C1"/>
        </w:rPr>
      </w:pPr>
    </w:p>
    <w:p w14:paraId="4A81ABEF" w14:textId="6BADD666" w:rsidR="006B0452" w:rsidRDefault="006B0452">
      <w:pPr>
        <w:pStyle w:val="BodyText"/>
        <w:ind w:left="120"/>
        <w:rPr>
          <w:rFonts w:ascii="Calibri"/>
          <w:color w:val="0562C1"/>
          <w:u w:val="single" w:color="0562C1"/>
        </w:rPr>
      </w:pPr>
    </w:p>
    <w:p w14:paraId="0706FA73" w14:textId="77777777" w:rsidR="006B0452" w:rsidRDefault="006B0452">
      <w:pPr>
        <w:pStyle w:val="BodyText"/>
        <w:ind w:left="120"/>
        <w:rPr>
          <w:rFonts w:ascii="Calibri"/>
        </w:rPr>
      </w:pPr>
    </w:p>
    <w:p w14:paraId="6918B51F" w14:textId="77777777" w:rsidR="00AE70D1" w:rsidRDefault="00AE70D1">
      <w:pPr>
        <w:pStyle w:val="BodyText"/>
        <w:rPr>
          <w:rFonts w:ascii="Calibri"/>
          <w:sz w:val="20"/>
        </w:rPr>
      </w:pPr>
    </w:p>
    <w:p w14:paraId="73E94AF6" w14:textId="4A47C4F5" w:rsidR="00AE70D1" w:rsidRDefault="006B0452">
      <w:pPr>
        <w:pStyle w:val="BodyText"/>
        <w:rPr>
          <w:rFonts w:ascii="Calibri"/>
          <w:sz w:val="20"/>
        </w:rPr>
      </w:pPr>
      <w:r>
        <w:rPr>
          <w:noProof/>
        </w:rPr>
        <w:drawing>
          <wp:inline distT="0" distB="0" distL="0" distR="0" wp14:anchorId="3E5BC4B2" wp14:editId="477F87F4">
            <wp:extent cx="5076825" cy="2952750"/>
            <wp:effectExtent l="0" t="0" r="9525" b="0"/>
            <wp:docPr id="1" name="Picture 1" descr="Goal is to resolve issues at lowest level possible beginning with the Project Officer, then Branch chiefs, then Division Director and ending with the Organization Dir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 is to resolve issues at lowest level possible beginning with the Project Officer, then Branch chiefs, then Division Director and ending with the Organization Directors."/>
                    <pic:cNvPicPr/>
                  </pic:nvPicPr>
                  <pic:blipFill>
                    <a:blip r:embed="rId13"/>
                    <a:stretch>
                      <a:fillRect/>
                    </a:stretch>
                  </pic:blipFill>
                  <pic:spPr>
                    <a:xfrm>
                      <a:off x="0" y="0"/>
                      <a:ext cx="5076825" cy="2952750"/>
                    </a:xfrm>
                    <a:prstGeom prst="rect">
                      <a:avLst/>
                    </a:prstGeom>
                  </pic:spPr>
                </pic:pic>
              </a:graphicData>
            </a:graphic>
          </wp:inline>
        </w:drawing>
      </w:r>
    </w:p>
    <w:p w14:paraId="53D0A849" w14:textId="77777777" w:rsidR="00DF7EEA" w:rsidRDefault="00DF7EEA">
      <w:pPr>
        <w:pStyle w:val="BodyText"/>
        <w:rPr>
          <w:rFonts w:ascii="Calibri"/>
          <w:sz w:val="20"/>
        </w:rPr>
      </w:pPr>
    </w:p>
    <w:p w14:paraId="2FE70A74" w14:textId="74761AF1" w:rsidR="00DF7EEA" w:rsidRPr="00DF7EEA" w:rsidRDefault="00DF7EEA">
      <w:pPr>
        <w:pStyle w:val="BodyText"/>
        <w:rPr>
          <w:rFonts w:ascii="Calibri"/>
          <w:b/>
          <w:bCs/>
          <w:sz w:val="32"/>
          <w:szCs w:val="36"/>
        </w:rPr>
      </w:pPr>
      <w:r w:rsidRPr="00DF7EEA">
        <w:rPr>
          <w:rFonts w:ascii="Calibri"/>
          <w:b/>
          <w:bCs/>
          <w:sz w:val="32"/>
          <w:szCs w:val="36"/>
        </w:rPr>
        <w:t>Issue Escalation Graph from Project Officer to ORF Director</w:t>
      </w:r>
    </w:p>
    <w:p w14:paraId="4BCECCCB" w14:textId="77777777" w:rsidR="00DF7EEA" w:rsidRDefault="00DF7EEA">
      <w:pPr>
        <w:pStyle w:val="BodyText"/>
        <w:rPr>
          <w:rFonts w:ascii="Calibri"/>
          <w:sz w:val="20"/>
        </w:rPr>
      </w:pPr>
    </w:p>
    <w:p w14:paraId="6C021DDE" w14:textId="77777777" w:rsidR="006B0452" w:rsidRDefault="006B0452" w:rsidP="006B0452">
      <w:pPr>
        <w:pStyle w:val="Heading1"/>
        <w:spacing w:before="36"/>
        <w:ind w:left="0" w:right="0"/>
        <w:rPr>
          <w:rFonts w:ascii="Calibri"/>
          <w:color w:val="5A5A5A"/>
        </w:rPr>
      </w:pPr>
    </w:p>
    <w:p w14:paraId="25F743E5" w14:textId="77777777" w:rsidR="00AE70D1" w:rsidRDefault="00AE70D1">
      <w:pPr>
        <w:rPr>
          <w:rFonts w:ascii="Calibri"/>
          <w:sz w:val="12"/>
        </w:rPr>
      </w:pPr>
    </w:p>
    <w:p w14:paraId="7F84C07A" w14:textId="24E64406" w:rsidR="00BD609A" w:rsidRPr="008E275D" w:rsidRDefault="001338D7" w:rsidP="001338D7">
      <w:pPr>
        <w:pStyle w:val="Heading1"/>
        <w:spacing w:before="36"/>
        <w:ind w:left="0" w:right="0"/>
        <w:rPr>
          <w:rFonts w:ascii="Calibri"/>
          <w:b/>
          <w:bCs/>
        </w:rPr>
      </w:pPr>
      <w:r>
        <w:rPr>
          <w:rFonts w:ascii="Calibri"/>
          <w:color w:val="5A5A5A"/>
        </w:rPr>
        <w:t xml:space="preserve">    </w:t>
      </w:r>
      <w:r w:rsidR="00BD609A" w:rsidRPr="008E275D">
        <w:rPr>
          <w:rFonts w:ascii="Calibri"/>
          <w:b/>
          <w:bCs/>
          <w:color w:val="5A5A5A"/>
        </w:rPr>
        <w:t xml:space="preserve">Diagram </w:t>
      </w:r>
      <w:r w:rsidR="006B0452" w:rsidRPr="008E275D">
        <w:rPr>
          <w:rFonts w:ascii="Calibri"/>
          <w:b/>
          <w:bCs/>
          <w:color w:val="5A5A5A"/>
        </w:rPr>
        <w:t xml:space="preserve">of </w:t>
      </w:r>
      <w:r w:rsidR="00BD609A" w:rsidRPr="008E275D">
        <w:rPr>
          <w:rFonts w:ascii="Calibri"/>
          <w:b/>
          <w:bCs/>
          <w:color w:val="5A5A5A"/>
        </w:rPr>
        <w:t>Project Management Issue Escalation process</w:t>
      </w:r>
    </w:p>
    <w:p w14:paraId="14A5915C" w14:textId="379D3B43" w:rsidR="00BD609A" w:rsidRDefault="00BD609A">
      <w:pPr>
        <w:rPr>
          <w:rFonts w:ascii="Calibri"/>
          <w:sz w:val="12"/>
        </w:rPr>
        <w:sectPr w:rsidR="00BD609A">
          <w:headerReference w:type="default" r:id="rId14"/>
          <w:footerReference w:type="default" r:id="rId15"/>
          <w:pgSz w:w="12240" w:h="15840"/>
          <w:pgMar w:top="1360" w:right="1340" w:bottom="1200" w:left="1320" w:header="0" w:footer="1012" w:gutter="0"/>
          <w:cols w:space="720"/>
        </w:sectPr>
      </w:pPr>
    </w:p>
    <w:p w14:paraId="2EC63477" w14:textId="77777777" w:rsidR="00AE70D1" w:rsidRPr="008E275D" w:rsidRDefault="00A463BF">
      <w:pPr>
        <w:spacing w:before="20"/>
        <w:ind w:left="1421" w:right="1401"/>
        <w:jc w:val="center"/>
        <w:rPr>
          <w:rFonts w:ascii="Calibri Light" w:hAnsi="Calibri Light"/>
          <w:b/>
          <w:bCs/>
          <w:sz w:val="32"/>
        </w:rPr>
      </w:pPr>
      <w:bookmarkStart w:id="4" w:name="Attachment_1_–_Estimate_Classification_a"/>
      <w:bookmarkEnd w:id="4"/>
      <w:r w:rsidRPr="008E275D">
        <w:rPr>
          <w:rFonts w:ascii="Calibri Light" w:hAnsi="Calibri Light"/>
          <w:b/>
          <w:bCs/>
          <w:color w:val="2E5395"/>
          <w:sz w:val="32"/>
        </w:rPr>
        <w:lastRenderedPageBreak/>
        <w:t>Attachment 1 – Estimate Classification and Accuracy</w:t>
      </w:r>
    </w:p>
    <w:p w14:paraId="04D77BFF" w14:textId="77777777" w:rsidR="00AE70D1" w:rsidRDefault="00AE70D1">
      <w:pPr>
        <w:pStyle w:val="BodyText"/>
        <w:spacing w:before="8"/>
        <w:rPr>
          <w:rFonts w:ascii="Calibri Light"/>
          <w:sz w:val="32"/>
        </w:rPr>
      </w:pPr>
    </w:p>
    <w:p w14:paraId="59BC930B" w14:textId="77777777" w:rsidR="00AE70D1" w:rsidRDefault="00A463BF">
      <w:pPr>
        <w:pStyle w:val="Heading2"/>
        <w:ind w:left="119" w:right="337"/>
        <w:rPr>
          <w:sz w:val="22"/>
        </w:rPr>
      </w:pPr>
      <w:r>
        <w:t>Class 1-5 estimates are based on the percent of design completion and Range of estimated accuracy for each of these five classes (For Building and General Construction only</w:t>
      </w:r>
      <w:r>
        <w:rPr>
          <w:sz w:val="22"/>
        </w:rPr>
        <w:t>)</w:t>
      </w:r>
    </w:p>
    <w:p w14:paraId="3261E9AF" w14:textId="77777777" w:rsidR="00AE70D1" w:rsidRDefault="00AE70D1">
      <w:pPr>
        <w:pStyle w:val="BodyText"/>
        <w:rPr>
          <w:rFonts w:ascii="Calibri"/>
        </w:rPr>
      </w:pPr>
    </w:p>
    <w:p w14:paraId="714EAC7F" w14:textId="77777777" w:rsidR="00AE70D1" w:rsidRDefault="00A463BF">
      <w:pPr>
        <w:pStyle w:val="BodyText"/>
        <w:ind w:left="119" w:right="113"/>
        <w:rPr>
          <w:rFonts w:ascii="Calibri" w:hAnsi="Calibri"/>
        </w:rPr>
      </w:pPr>
      <w:r w:rsidRPr="00C94EA6">
        <w:rPr>
          <w:rFonts w:ascii="Calibri" w:hAnsi="Calibri"/>
          <w:u w:val="single"/>
        </w:rPr>
        <w:t>Class 5</w:t>
      </w:r>
      <w:r>
        <w:rPr>
          <w:rFonts w:ascii="Calibri" w:hAnsi="Calibri"/>
        </w:rPr>
        <w:t xml:space="preserve">: </w:t>
      </w:r>
      <w:r w:rsidRPr="00C94EA6">
        <w:rPr>
          <w:rFonts w:ascii="Calibri" w:hAnsi="Calibri"/>
          <w:b/>
          <w:bCs/>
        </w:rPr>
        <w:t>0% to 2 % designed</w:t>
      </w:r>
      <w:r>
        <w:rPr>
          <w:rFonts w:ascii="Calibri" w:hAnsi="Calibri"/>
        </w:rPr>
        <w:t xml:space="preserve"> – little more than proposed building type, location, functional space building requirements (SF or m2), and number of stories are known at the time of estimate preparation.</w:t>
      </w:r>
    </w:p>
    <w:p w14:paraId="723C80BD" w14:textId="77777777" w:rsidR="00AE70D1" w:rsidRDefault="00A463BF">
      <w:pPr>
        <w:pStyle w:val="BodyText"/>
        <w:spacing w:before="1" w:line="268" w:lineRule="exact"/>
        <w:ind w:left="119"/>
        <w:rPr>
          <w:rFonts w:ascii="Calibri"/>
        </w:rPr>
      </w:pPr>
      <w:r>
        <w:rPr>
          <w:rFonts w:ascii="Calibri"/>
        </w:rPr>
        <w:t>Accuracy Low of -20% to -30%</w:t>
      </w:r>
    </w:p>
    <w:p w14:paraId="1623D590" w14:textId="77777777" w:rsidR="00AE70D1" w:rsidRDefault="00A463BF">
      <w:pPr>
        <w:pStyle w:val="BodyText"/>
        <w:spacing w:line="268" w:lineRule="exact"/>
        <w:ind w:left="119"/>
        <w:rPr>
          <w:rFonts w:ascii="Calibri"/>
        </w:rPr>
      </w:pPr>
      <w:r>
        <w:rPr>
          <w:rFonts w:ascii="Calibri"/>
        </w:rPr>
        <w:t>Accuracy High of +30% to +50%</w:t>
      </w:r>
    </w:p>
    <w:p w14:paraId="77C4B560" w14:textId="77777777" w:rsidR="00AE70D1" w:rsidRDefault="00AE70D1">
      <w:pPr>
        <w:pStyle w:val="BodyText"/>
        <w:rPr>
          <w:rFonts w:ascii="Calibri"/>
        </w:rPr>
      </w:pPr>
    </w:p>
    <w:p w14:paraId="506F0954" w14:textId="77777777" w:rsidR="00AE70D1" w:rsidRDefault="00A463BF">
      <w:pPr>
        <w:pStyle w:val="BodyText"/>
        <w:ind w:left="119" w:right="621"/>
        <w:rPr>
          <w:rFonts w:ascii="Calibri" w:hAnsi="Calibri"/>
        </w:rPr>
      </w:pPr>
      <w:r w:rsidRPr="00C94EA6">
        <w:rPr>
          <w:rFonts w:ascii="Calibri" w:hAnsi="Calibri"/>
          <w:u w:val="single"/>
        </w:rPr>
        <w:t>Class 4</w:t>
      </w:r>
      <w:r>
        <w:rPr>
          <w:rFonts w:ascii="Calibri" w:hAnsi="Calibri"/>
        </w:rPr>
        <w:t xml:space="preserve">: </w:t>
      </w:r>
      <w:r w:rsidRPr="00C94EA6">
        <w:rPr>
          <w:rFonts w:ascii="Calibri" w:hAnsi="Calibri"/>
          <w:b/>
          <w:bCs/>
        </w:rPr>
        <w:t>1% to 15% designed</w:t>
      </w:r>
      <w:r>
        <w:rPr>
          <w:rFonts w:ascii="Calibri" w:hAnsi="Calibri"/>
        </w:rPr>
        <w:t xml:space="preserve"> – preliminary room layouts, new proposed site plan, existing site plan, markups of existing drawings for demolition and utilities, design criteria report.</w:t>
      </w:r>
    </w:p>
    <w:p w14:paraId="4EC5B342" w14:textId="77777777" w:rsidR="00AE70D1" w:rsidRDefault="00A463BF">
      <w:pPr>
        <w:pStyle w:val="BodyText"/>
        <w:spacing w:before="1" w:line="268" w:lineRule="exact"/>
        <w:ind w:left="119"/>
        <w:rPr>
          <w:rFonts w:ascii="Calibri"/>
        </w:rPr>
      </w:pPr>
      <w:r>
        <w:rPr>
          <w:rFonts w:ascii="Calibri"/>
        </w:rPr>
        <w:t>Accuracy Low of -10% to -20%</w:t>
      </w:r>
    </w:p>
    <w:p w14:paraId="117AB95B" w14:textId="77777777" w:rsidR="00AE70D1" w:rsidRDefault="00A463BF">
      <w:pPr>
        <w:pStyle w:val="BodyText"/>
        <w:spacing w:line="268" w:lineRule="exact"/>
        <w:ind w:left="119"/>
        <w:rPr>
          <w:rFonts w:ascii="Calibri"/>
        </w:rPr>
      </w:pPr>
      <w:r>
        <w:rPr>
          <w:rFonts w:ascii="Calibri"/>
        </w:rPr>
        <w:t>Accuracy High of +20% to +30%</w:t>
      </w:r>
    </w:p>
    <w:p w14:paraId="2C258B63" w14:textId="77777777" w:rsidR="00AE70D1" w:rsidRDefault="00AE70D1">
      <w:pPr>
        <w:pStyle w:val="BodyText"/>
        <w:rPr>
          <w:rFonts w:ascii="Calibri"/>
        </w:rPr>
      </w:pPr>
    </w:p>
    <w:p w14:paraId="376118B3" w14:textId="77777777" w:rsidR="00AE70D1" w:rsidRDefault="00A463BF">
      <w:pPr>
        <w:pStyle w:val="BodyText"/>
        <w:ind w:left="119" w:right="718"/>
        <w:rPr>
          <w:rFonts w:ascii="Calibri" w:hAnsi="Calibri"/>
        </w:rPr>
      </w:pPr>
      <w:r w:rsidRPr="00C94EA6">
        <w:rPr>
          <w:rFonts w:ascii="Calibri" w:hAnsi="Calibri"/>
          <w:u w:val="single"/>
        </w:rPr>
        <w:t>Class 3:</w:t>
      </w:r>
      <w:r>
        <w:rPr>
          <w:rFonts w:ascii="Calibri" w:hAnsi="Calibri"/>
        </w:rPr>
        <w:t xml:space="preserve"> </w:t>
      </w:r>
      <w:r w:rsidRPr="00C94EA6">
        <w:rPr>
          <w:rFonts w:ascii="Calibri" w:hAnsi="Calibri"/>
          <w:b/>
          <w:bCs/>
        </w:rPr>
        <w:t>10% to 40% designed</w:t>
      </w:r>
      <w:r>
        <w:rPr>
          <w:rFonts w:ascii="Calibri" w:hAnsi="Calibri"/>
        </w:rPr>
        <w:t xml:space="preserve"> – defined site civil information such as site plan, existing conditions, demolition drawings, utility plan, site electrical plans, room layouts, mechanical system layouts, plumbing layouts, and one-line electrical diagrams.</w:t>
      </w:r>
    </w:p>
    <w:p w14:paraId="22FD6CA9" w14:textId="77777777" w:rsidR="00AE70D1" w:rsidRDefault="00A463BF">
      <w:pPr>
        <w:pStyle w:val="BodyText"/>
        <w:spacing w:line="268" w:lineRule="exact"/>
        <w:ind w:left="119"/>
        <w:rPr>
          <w:rFonts w:ascii="Calibri"/>
        </w:rPr>
      </w:pPr>
      <w:r>
        <w:rPr>
          <w:rFonts w:ascii="Calibri"/>
        </w:rPr>
        <w:t>Accuracy Low of -5% to -15%</w:t>
      </w:r>
    </w:p>
    <w:p w14:paraId="6F3E5CDE" w14:textId="77777777" w:rsidR="00AE70D1" w:rsidRDefault="00A463BF">
      <w:pPr>
        <w:pStyle w:val="BodyText"/>
        <w:ind w:left="119"/>
        <w:rPr>
          <w:rFonts w:ascii="Calibri"/>
        </w:rPr>
      </w:pPr>
      <w:r>
        <w:rPr>
          <w:rFonts w:ascii="Calibri"/>
        </w:rPr>
        <w:t>Accuracy High of +10% to +20%</w:t>
      </w:r>
    </w:p>
    <w:p w14:paraId="467DA9CF" w14:textId="77777777" w:rsidR="00AE70D1" w:rsidRDefault="00AE70D1">
      <w:pPr>
        <w:pStyle w:val="BodyText"/>
        <w:spacing w:before="1"/>
        <w:rPr>
          <w:rFonts w:ascii="Calibri"/>
        </w:rPr>
      </w:pPr>
    </w:p>
    <w:p w14:paraId="5DE83919" w14:textId="77777777" w:rsidR="00AE70D1" w:rsidRDefault="00A463BF">
      <w:pPr>
        <w:pStyle w:val="BodyText"/>
        <w:ind w:left="119" w:right="117"/>
        <w:rPr>
          <w:rFonts w:ascii="Calibri" w:hAnsi="Calibri"/>
        </w:rPr>
      </w:pPr>
      <w:r w:rsidRPr="00C94EA6">
        <w:rPr>
          <w:rFonts w:ascii="Calibri" w:hAnsi="Calibri"/>
          <w:u w:val="single"/>
        </w:rPr>
        <w:t>Class 2:</w:t>
      </w:r>
      <w:r>
        <w:rPr>
          <w:rFonts w:ascii="Calibri" w:hAnsi="Calibri"/>
        </w:rPr>
        <w:t xml:space="preserve"> </w:t>
      </w:r>
      <w:r w:rsidRPr="00C94EA6">
        <w:rPr>
          <w:rFonts w:ascii="Calibri" w:hAnsi="Calibri"/>
          <w:b/>
          <w:bCs/>
        </w:rPr>
        <w:t>30% to 70% designed</w:t>
      </w:r>
      <w:r>
        <w:rPr>
          <w:rFonts w:ascii="Calibri" w:hAnsi="Calibri"/>
        </w:rPr>
        <w:t xml:space="preserve"> – All drawings, plan views, elevation drawings and section drawings are complete; except detailed design schedules, architectural details and control diagrams, which may still be in draft form.</w:t>
      </w:r>
    </w:p>
    <w:p w14:paraId="30E35830" w14:textId="77777777" w:rsidR="00AE70D1" w:rsidRDefault="00A463BF">
      <w:pPr>
        <w:pStyle w:val="BodyText"/>
        <w:spacing w:line="268" w:lineRule="exact"/>
        <w:ind w:left="119"/>
        <w:rPr>
          <w:rFonts w:ascii="Calibri"/>
        </w:rPr>
      </w:pPr>
      <w:r>
        <w:rPr>
          <w:rFonts w:ascii="Calibri"/>
        </w:rPr>
        <w:t>Accuracy Low of -5% to -10%</w:t>
      </w:r>
    </w:p>
    <w:p w14:paraId="1CBAF6B1" w14:textId="77777777" w:rsidR="00AE70D1" w:rsidRDefault="00A463BF">
      <w:pPr>
        <w:pStyle w:val="BodyText"/>
        <w:ind w:left="119"/>
        <w:rPr>
          <w:rFonts w:ascii="Calibri"/>
        </w:rPr>
      </w:pPr>
      <w:r>
        <w:rPr>
          <w:rFonts w:ascii="Calibri"/>
        </w:rPr>
        <w:t>Accuracy High of +5% to +15%</w:t>
      </w:r>
    </w:p>
    <w:p w14:paraId="4B96A231" w14:textId="77777777" w:rsidR="00AE70D1" w:rsidRDefault="00AE70D1">
      <w:pPr>
        <w:pStyle w:val="BodyText"/>
        <w:rPr>
          <w:rFonts w:ascii="Calibri"/>
        </w:rPr>
      </w:pPr>
    </w:p>
    <w:p w14:paraId="6CD90CFC" w14:textId="77777777" w:rsidR="00AE70D1" w:rsidRDefault="00A463BF">
      <w:pPr>
        <w:pStyle w:val="BodyText"/>
        <w:spacing w:before="1"/>
        <w:ind w:left="120" w:right="290" w:hanging="1"/>
        <w:rPr>
          <w:rFonts w:ascii="Calibri" w:hAnsi="Calibri"/>
        </w:rPr>
      </w:pPr>
      <w:r w:rsidRPr="00C94EA6">
        <w:rPr>
          <w:rFonts w:ascii="Calibri" w:hAnsi="Calibri"/>
          <w:u w:val="single"/>
        </w:rPr>
        <w:t>Class 1:</w:t>
      </w:r>
      <w:r>
        <w:rPr>
          <w:rFonts w:ascii="Calibri" w:hAnsi="Calibri"/>
        </w:rPr>
        <w:t xml:space="preserve"> </w:t>
      </w:r>
      <w:r w:rsidRPr="00C94EA6">
        <w:rPr>
          <w:rFonts w:ascii="Calibri" w:hAnsi="Calibri"/>
          <w:b/>
          <w:bCs/>
        </w:rPr>
        <w:t>65% to 100% designed</w:t>
      </w:r>
      <w:r>
        <w:rPr>
          <w:rFonts w:ascii="Calibri" w:hAnsi="Calibri"/>
        </w:rPr>
        <w:t xml:space="preserve"> – All drawings, plan views, elevation drawings and section drawings are complete; all detailed design schedules, architectural details, control diagrams, and specifications are complete.</w:t>
      </w:r>
    </w:p>
    <w:p w14:paraId="5DD421EC" w14:textId="77777777" w:rsidR="00AE70D1" w:rsidRDefault="00A463BF">
      <w:pPr>
        <w:pStyle w:val="BodyText"/>
        <w:spacing w:line="268" w:lineRule="exact"/>
        <w:ind w:left="120"/>
        <w:rPr>
          <w:rFonts w:ascii="Calibri"/>
        </w:rPr>
      </w:pPr>
      <w:r>
        <w:rPr>
          <w:rFonts w:ascii="Calibri"/>
        </w:rPr>
        <w:t>Accuracy Low of -3% to -5%</w:t>
      </w:r>
    </w:p>
    <w:p w14:paraId="2E2636AC" w14:textId="77777777" w:rsidR="00AE70D1" w:rsidRDefault="00A463BF">
      <w:pPr>
        <w:pStyle w:val="BodyText"/>
        <w:ind w:left="120"/>
        <w:rPr>
          <w:rFonts w:ascii="Calibri"/>
        </w:rPr>
      </w:pPr>
      <w:r>
        <w:rPr>
          <w:rFonts w:ascii="Calibri"/>
        </w:rPr>
        <w:t>Accuracy High of +3% to +10%</w:t>
      </w:r>
    </w:p>
    <w:p w14:paraId="4CE1BBCC" w14:textId="77777777" w:rsidR="00AE70D1" w:rsidRDefault="00AE70D1">
      <w:pPr>
        <w:rPr>
          <w:rFonts w:ascii="Calibri"/>
        </w:rPr>
      </w:pPr>
    </w:p>
    <w:p w14:paraId="45147AE4" w14:textId="77777777" w:rsidR="00236EE4" w:rsidRDefault="00236EE4">
      <w:pPr>
        <w:rPr>
          <w:rFonts w:ascii="Calibri"/>
        </w:rPr>
      </w:pPr>
    </w:p>
    <w:p w14:paraId="28C7654A" w14:textId="77777777" w:rsidR="00236EE4" w:rsidRDefault="00236EE4">
      <w:pPr>
        <w:rPr>
          <w:rFonts w:ascii="Calibri"/>
        </w:rPr>
      </w:pPr>
    </w:p>
    <w:p w14:paraId="14A5B2E0" w14:textId="77777777" w:rsidR="00236EE4" w:rsidRDefault="00236EE4">
      <w:pPr>
        <w:rPr>
          <w:rFonts w:ascii="Calibri"/>
        </w:rPr>
      </w:pPr>
    </w:p>
    <w:p w14:paraId="32464AFB" w14:textId="4DB7435E" w:rsidR="00236EE4" w:rsidRDefault="00236EE4">
      <w:pPr>
        <w:rPr>
          <w:rFonts w:ascii="Calibri"/>
        </w:rPr>
      </w:pPr>
      <w:r>
        <w:rPr>
          <w:rFonts w:ascii="Calibri"/>
        </w:rPr>
        <w:br w:type="page"/>
      </w:r>
    </w:p>
    <w:p w14:paraId="0AA0523B" w14:textId="77777777" w:rsidR="00236EE4" w:rsidRDefault="00236EE4">
      <w:pPr>
        <w:rPr>
          <w:rFonts w:ascii="Calibri"/>
        </w:rPr>
      </w:pPr>
    </w:p>
    <w:p w14:paraId="56913473" w14:textId="77777777" w:rsidR="00236EE4" w:rsidRDefault="00236EE4">
      <w:pPr>
        <w:rPr>
          <w:rFonts w:ascii="Calibri"/>
        </w:rPr>
      </w:pPr>
    </w:p>
    <w:p w14:paraId="6E725587" w14:textId="77777777" w:rsidR="00236EE4" w:rsidRDefault="00236EE4">
      <w:pPr>
        <w:rPr>
          <w:rFonts w:ascii="Calibri"/>
        </w:rPr>
      </w:pPr>
      <w:r>
        <w:rPr>
          <w:noProof/>
        </w:rPr>
        <w:drawing>
          <wp:inline distT="0" distB="0" distL="0" distR="0" wp14:anchorId="734FEBA4" wp14:editId="798A04D7">
            <wp:extent cx="6083300" cy="4573270"/>
            <wp:effectExtent l="0" t="0" r="0" b="0"/>
            <wp:docPr id="2" name="Picture 2" descr="Image of Graph for Estimate Classification and Accurac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Graph for Estimate Classification and Accuracy&#10;"/>
                    <pic:cNvPicPr/>
                  </pic:nvPicPr>
                  <pic:blipFill>
                    <a:blip r:embed="rId16"/>
                    <a:stretch>
                      <a:fillRect/>
                    </a:stretch>
                  </pic:blipFill>
                  <pic:spPr>
                    <a:xfrm>
                      <a:off x="0" y="0"/>
                      <a:ext cx="6083300" cy="4573270"/>
                    </a:xfrm>
                    <a:prstGeom prst="rect">
                      <a:avLst/>
                    </a:prstGeom>
                  </pic:spPr>
                </pic:pic>
              </a:graphicData>
            </a:graphic>
          </wp:inline>
        </w:drawing>
      </w:r>
    </w:p>
    <w:p w14:paraId="4FF88B59" w14:textId="77777777" w:rsidR="00DF7EEA" w:rsidRDefault="00DF7EEA">
      <w:pPr>
        <w:rPr>
          <w:rFonts w:ascii="Calibri"/>
        </w:rPr>
      </w:pPr>
    </w:p>
    <w:p w14:paraId="304F3E8A" w14:textId="417A3C5C" w:rsidR="00DF7EEA" w:rsidRPr="00DF7EEA" w:rsidRDefault="00DF7EEA" w:rsidP="00DF7EEA">
      <w:pPr>
        <w:jc w:val="center"/>
        <w:rPr>
          <w:rFonts w:ascii="Calibri"/>
          <w:b/>
          <w:bCs/>
          <w:sz w:val="36"/>
          <w:szCs w:val="36"/>
        </w:rPr>
      </w:pPr>
      <w:r w:rsidRPr="00DF7EEA">
        <w:rPr>
          <w:rFonts w:ascii="Calibri"/>
          <w:b/>
          <w:bCs/>
          <w:sz w:val="36"/>
          <w:szCs w:val="36"/>
        </w:rPr>
        <w:t xml:space="preserve">Image of Graph </w:t>
      </w:r>
      <w:r>
        <w:rPr>
          <w:rFonts w:ascii="Calibri"/>
          <w:b/>
          <w:bCs/>
          <w:sz w:val="36"/>
          <w:szCs w:val="36"/>
        </w:rPr>
        <w:t>for</w:t>
      </w:r>
      <w:r w:rsidRPr="00DF7EEA">
        <w:rPr>
          <w:rFonts w:ascii="Calibri"/>
          <w:b/>
          <w:bCs/>
          <w:sz w:val="36"/>
          <w:szCs w:val="36"/>
        </w:rPr>
        <w:t xml:space="preserve"> Estimate Classification and Accuracy</w:t>
      </w:r>
    </w:p>
    <w:p w14:paraId="1F84F0DC" w14:textId="77777777" w:rsidR="00DF7EEA" w:rsidRDefault="00DF7EEA">
      <w:pPr>
        <w:rPr>
          <w:rFonts w:ascii="Calibri"/>
        </w:rPr>
      </w:pPr>
    </w:p>
    <w:p w14:paraId="36DF2724" w14:textId="77777777" w:rsidR="00DF7EEA" w:rsidRDefault="00DF7EEA">
      <w:pPr>
        <w:rPr>
          <w:rFonts w:ascii="Calibri"/>
        </w:rPr>
      </w:pPr>
    </w:p>
    <w:p w14:paraId="131978A7" w14:textId="77777777" w:rsidR="00DF7EEA" w:rsidRDefault="00DF7EEA">
      <w:pPr>
        <w:rPr>
          <w:rFonts w:ascii="Calibri"/>
        </w:rPr>
      </w:pPr>
    </w:p>
    <w:p w14:paraId="0B0C3975" w14:textId="310DA3C1" w:rsidR="00DF7EEA" w:rsidRDefault="00DF7EEA">
      <w:pPr>
        <w:rPr>
          <w:rFonts w:ascii="Calibri"/>
        </w:rPr>
        <w:sectPr w:rsidR="00DF7EEA">
          <w:pgSz w:w="12240" w:h="15840"/>
          <w:pgMar w:top="1420" w:right="1340" w:bottom="1200" w:left="1320" w:header="0" w:footer="1012" w:gutter="0"/>
          <w:cols w:space="720"/>
        </w:sectPr>
      </w:pPr>
    </w:p>
    <w:p w14:paraId="6F04F03A" w14:textId="77777777" w:rsidR="00AE70D1" w:rsidRPr="008E275D" w:rsidRDefault="00A463BF">
      <w:pPr>
        <w:pStyle w:val="Heading1"/>
        <w:jc w:val="center"/>
        <w:rPr>
          <w:b/>
          <w:bCs/>
        </w:rPr>
      </w:pPr>
      <w:bookmarkStart w:id="5" w:name="Attachment_2_–_IC_Responsibility"/>
      <w:bookmarkEnd w:id="5"/>
      <w:r w:rsidRPr="008E275D">
        <w:rPr>
          <w:b/>
          <w:bCs/>
          <w:color w:val="2E5395"/>
        </w:rPr>
        <w:lastRenderedPageBreak/>
        <w:t>Attachment 2 – IC Responsibility</w:t>
      </w:r>
    </w:p>
    <w:p w14:paraId="2B80E026" w14:textId="77777777" w:rsidR="00AE70D1" w:rsidRDefault="00AE70D1">
      <w:pPr>
        <w:pStyle w:val="BodyText"/>
        <w:spacing w:before="6"/>
        <w:rPr>
          <w:rFonts w:ascii="Calibri Light"/>
          <w:sz w:val="24"/>
        </w:rPr>
      </w:pPr>
    </w:p>
    <w:p w14:paraId="0A23EE0C" w14:textId="236FB1A9" w:rsidR="00AE70D1" w:rsidRDefault="005A1F52">
      <w:pPr>
        <w:pStyle w:val="ListParagraph"/>
        <w:numPr>
          <w:ilvl w:val="0"/>
          <w:numId w:val="1"/>
        </w:numPr>
        <w:tabs>
          <w:tab w:val="left" w:pos="288"/>
        </w:tabs>
        <w:spacing w:before="1"/>
        <w:rPr>
          <w:rFonts w:ascii="Calibri"/>
        </w:rPr>
      </w:pPr>
      <w:r>
        <w:rPr>
          <w:rFonts w:ascii="Calibri"/>
        </w:rPr>
        <w:t xml:space="preserve"> </w:t>
      </w:r>
      <w:r w:rsidR="00A463BF">
        <w:rPr>
          <w:rFonts w:ascii="Calibri"/>
        </w:rPr>
        <w:t>Submit a work request at</w:t>
      </w:r>
      <w:r w:rsidR="00A463BF">
        <w:rPr>
          <w:rFonts w:ascii="Calibri"/>
          <w:color w:val="0562C1"/>
          <w:spacing w:val="-4"/>
        </w:rPr>
        <w:t xml:space="preserve"> </w:t>
      </w:r>
      <w:r w:rsidR="006240A1">
        <w:rPr>
          <w:rStyle w:val="ui-provider"/>
        </w:rPr>
        <w:t>(</w:t>
      </w:r>
      <w:r w:rsidR="006240A1" w:rsidRPr="006240A1">
        <w:rPr>
          <w:rStyle w:val="ui-provider"/>
          <w:color w:val="1F497D" w:themeColor="text2"/>
          <w:u w:val="single"/>
        </w:rPr>
        <w:t>iwms.nih.gov</w:t>
      </w:r>
      <w:r w:rsidR="006240A1">
        <w:rPr>
          <w:rStyle w:val="ui-provider"/>
        </w:rPr>
        <w:t>)</w:t>
      </w:r>
      <w:r w:rsidR="00E0403E" w:rsidRPr="00E0403E">
        <w:rPr>
          <w:rFonts w:ascii="Calibri"/>
          <w:u w:color="0562C1"/>
        </w:rPr>
        <w:t>. Also</w:t>
      </w:r>
      <w:r w:rsidR="00E0403E">
        <w:rPr>
          <w:rFonts w:ascii="Calibri"/>
          <w:u w:color="0562C1"/>
        </w:rPr>
        <w:t>,</w:t>
      </w:r>
      <w:r w:rsidR="00E0403E" w:rsidRPr="00E0403E">
        <w:rPr>
          <w:rFonts w:ascii="Calibri"/>
          <w:u w:color="0562C1"/>
        </w:rPr>
        <w:t xml:space="preserve"> </w:t>
      </w:r>
      <w:r w:rsidR="00E0403E">
        <w:rPr>
          <w:rFonts w:ascii="Calibri"/>
          <w:u w:color="0562C1"/>
        </w:rPr>
        <w:t xml:space="preserve">see the </w:t>
      </w:r>
      <w:r w:rsidR="00E0403E">
        <w:rPr>
          <w:rFonts w:ascii="Calibri"/>
          <w:u w:color="0562C1"/>
        </w:rPr>
        <w:t>“</w:t>
      </w:r>
      <w:r w:rsidR="00E0403E">
        <w:rPr>
          <w:rFonts w:ascii="Calibri"/>
          <w:u w:color="0562C1"/>
        </w:rPr>
        <w:t>Search Requests</w:t>
      </w:r>
      <w:r w:rsidR="00E0403E">
        <w:rPr>
          <w:rFonts w:ascii="Calibri"/>
          <w:u w:color="0562C1"/>
        </w:rPr>
        <w:t>”</w:t>
      </w:r>
      <w:r w:rsidR="00E0403E">
        <w:rPr>
          <w:rFonts w:ascii="Calibri"/>
          <w:u w:color="0562C1"/>
        </w:rPr>
        <w:t xml:space="preserve"> button for </w:t>
      </w:r>
      <w:r w:rsidR="00E0403E" w:rsidRPr="00E0403E">
        <w:rPr>
          <w:rFonts w:ascii="Calibri"/>
          <w:u w:color="0562C1"/>
        </w:rPr>
        <w:t xml:space="preserve">project status </w:t>
      </w:r>
    </w:p>
    <w:p w14:paraId="1F6FE67A" w14:textId="77777777" w:rsidR="00AE70D1" w:rsidRDefault="00AE70D1">
      <w:pPr>
        <w:pStyle w:val="BodyText"/>
        <w:spacing w:before="5"/>
        <w:rPr>
          <w:rFonts w:ascii="Calibri"/>
          <w:sz w:val="17"/>
        </w:rPr>
      </w:pPr>
    </w:p>
    <w:p w14:paraId="22E99EEE" w14:textId="2760A613" w:rsidR="00AE70D1" w:rsidRDefault="005A1F52">
      <w:pPr>
        <w:pStyle w:val="ListParagraph"/>
        <w:numPr>
          <w:ilvl w:val="0"/>
          <w:numId w:val="1"/>
        </w:numPr>
        <w:tabs>
          <w:tab w:val="left" w:pos="289"/>
        </w:tabs>
        <w:spacing w:before="55"/>
        <w:ind w:hanging="169"/>
        <w:rPr>
          <w:rFonts w:ascii="Calibri"/>
        </w:rPr>
      </w:pPr>
      <w:r>
        <w:rPr>
          <w:rFonts w:ascii="Calibri"/>
        </w:rPr>
        <w:t xml:space="preserve"> </w:t>
      </w:r>
      <w:r w:rsidR="00A463BF">
        <w:rPr>
          <w:rFonts w:ascii="Calibri"/>
        </w:rPr>
        <w:t xml:space="preserve">The </w:t>
      </w:r>
      <w:r w:rsidR="007E3237">
        <w:rPr>
          <w:rFonts w:ascii="Calibri"/>
        </w:rPr>
        <w:t xml:space="preserve">IC </w:t>
      </w:r>
      <w:r w:rsidR="00A463BF">
        <w:rPr>
          <w:rFonts w:ascii="Calibri"/>
        </w:rPr>
        <w:t>Point of Contact (POC) helps draft a project plan with the assigned Project Officer</w:t>
      </w:r>
      <w:r w:rsidR="00A463BF">
        <w:rPr>
          <w:rFonts w:ascii="Calibri"/>
          <w:spacing w:val="-23"/>
        </w:rPr>
        <w:t xml:space="preserve"> </w:t>
      </w:r>
      <w:r w:rsidR="00A463BF">
        <w:rPr>
          <w:rFonts w:ascii="Calibri"/>
        </w:rPr>
        <w:t>(PO).</w:t>
      </w:r>
    </w:p>
    <w:p w14:paraId="1C43F588" w14:textId="77777777" w:rsidR="00E0403E" w:rsidRPr="00E0403E" w:rsidRDefault="00E0403E" w:rsidP="00E0403E">
      <w:pPr>
        <w:tabs>
          <w:tab w:val="left" w:pos="289"/>
        </w:tabs>
        <w:spacing w:before="55"/>
        <w:rPr>
          <w:rFonts w:ascii="Calibri"/>
        </w:rPr>
      </w:pPr>
    </w:p>
    <w:p w14:paraId="7782C44F" w14:textId="41CFE41E" w:rsidR="00AE70D1" w:rsidRDefault="005A1F52">
      <w:pPr>
        <w:pStyle w:val="ListParagraph"/>
        <w:numPr>
          <w:ilvl w:val="0"/>
          <w:numId w:val="1"/>
        </w:numPr>
        <w:tabs>
          <w:tab w:val="left" w:pos="289"/>
        </w:tabs>
        <w:spacing w:line="259" w:lineRule="auto"/>
        <w:ind w:left="120" w:right="462" w:firstLine="0"/>
        <w:rPr>
          <w:rFonts w:ascii="Calibri" w:hAnsi="Calibri"/>
        </w:rPr>
      </w:pPr>
      <w:r>
        <w:rPr>
          <w:rFonts w:ascii="Calibri" w:hAnsi="Calibri"/>
        </w:rPr>
        <w:t xml:space="preserve"> </w:t>
      </w:r>
      <w:r w:rsidR="00A463BF">
        <w:rPr>
          <w:rFonts w:ascii="Calibri" w:hAnsi="Calibri"/>
        </w:rPr>
        <w:t>The</w:t>
      </w:r>
      <w:r w:rsidR="00A463BF">
        <w:rPr>
          <w:rFonts w:ascii="Calibri" w:hAnsi="Calibri"/>
          <w:spacing w:val="-3"/>
        </w:rPr>
        <w:t xml:space="preserve"> </w:t>
      </w:r>
      <w:r w:rsidR="00A463BF">
        <w:rPr>
          <w:rFonts w:ascii="Calibri" w:hAnsi="Calibri"/>
        </w:rPr>
        <w:t>IC’s</w:t>
      </w:r>
      <w:r w:rsidR="00A463BF">
        <w:rPr>
          <w:rFonts w:ascii="Calibri" w:hAnsi="Calibri"/>
          <w:spacing w:val="-3"/>
        </w:rPr>
        <w:t xml:space="preserve"> </w:t>
      </w:r>
      <w:r w:rsidR="00A463BF">
        <w:rPr>
          <w:rFonts w:ascii="Calibri" w:hAnsi="Calibri"/>
        </w:rPr>
        <w:t>Fiscal</w:t>
      </w:r>
      <w:r w:rsidR="00A463BF">
        <w:rPr>
          <w:rFonts w:ascii="Calibri" w:hAnsi="Calibri"/>
          <w:spacing w:val="-3"/>
        </w:rPr>
        <w:t xml:space="preserve"> </w:t>
      </w:r>
      <w:r w:rsidR="00A463BF">
        <w:rPr>
          <w:rFonts w:ascii="Calibri" w:hAnsi="Calibri"/>
        </w:rPr>
        <w:t>Authority</w:t>
      </w:r>
      <w:r w:rsidR="00A463BF">
        <w:rPr>
          <w:rFonts w:ascii="Calibri" w:hAnsi="Calibri"/>
          <w:spacing w:val="-2"/>
        </w:rPr>
        <w:t xml:space="preserve"> </w:t>
      </w:r>
      <w:r w:rsidR="00A463BF">
        <w:rPr>
          <w:rFonts w:ascii="Calibri" w:hAnsi="Calibri"/>
        </w:rPr>
        <w:t>and</w:t>
      </w:r>
      <w:r w:rsidR="00A463BF">
        <w:rPr>
          <w:rFonts w:ascii="Calibri" w:hAnsi="Calibri"/>
          <w:spacing w:val="-3"/>
        </w:rPr>
        <w:t xml:space="preserve"> </w:t>
      </w:r>
      <w:r w:rsidR="00A463BF">
        <w:rPr>
          <w:rFonts w:ascii="Calibri" w:hAnsi="Calibri"/>
        </w:rPr>
        <w:t>IC</w:t>
      </w:r>
      <w:r w:rsidR="00A463BF">
        <w:rPr>
          <w:rFonts w:ascii="Calibri" w:hAnsi="Calibri"/>
          <w:spacing w:val="-2"/>
        </w:rPr>
        <w:t xml:space="preserve"> </w:t>
      </w:r>
      <w:r w:rsidR="00A463BF">
        <w:rPr>
          <w:rFonts w:ascii="Calibri" w:hAnsi="Calibri"/>
        </w:rPr>
        <w:t>POC</w:t>
      </w:r>
      <w:r w:rsidR="00A463BF">
        <w:rPr>
          <w:rFonts w:ascii="Calibri" w:hAnsi="Calibri"/>
          <w:spacing w:val="-2"/>
        </w:rPr>
        <w:t xml:space="preserve"> </w:t>
      </w:r>
      <w:r w:rsidR="00A463BF">
        <w:rPr>
          <w:rFonts w:ascii="Calibri" w:hAnsi="Calibri"/>
        </w:rPr>
        <w:t>review</w:t>
      </w:r>
      <w:r w:rsidR="00A463BF">
        <w:rPr>
          <w:rFonts w:ascii="Calibri" w:hAnsi="Calibri"/>
          <w:spacing w:val="-3"/>
        </w:rPr>
        <w:t xml:space="preserve"> </w:t>
      </w:r>
      <w:r w:rsidR="00A463BF">
        <w:rPr>
          <w:rFonts w:ascii="Calibri" w:hAnsi="Calibri"/>
        </w:rPr>
        <w:t>and</w:t>
      </w:r>
      <w:r w:rsidR="00A463BF">
        <w:rPr>
          <w:rFonts w:ascii="Calibri" w:hAnsi="Calibri"/>
          <w:spacing w:val="-3"/>
        </w:rPr>
        <w:t xml:space="preserve"> </w:t>
      </w:r>
      <w:r w:rsidR="00A463BF">
        <w:rPr>
          <w:rFonts w:ascii="Calibri" w:hAnsi="Calibri"/>
        </w:rPr>
        <w:t>sign</w:t>
      </w:r>
      <w:r w:rsidR="00A463BF">
        <w:rPr>
          <w:rFonts w:ascii="Calibri" w:hAnsi="Calibri"/>
          <w:spacing w:val="-2"/>
        </w:rPr>
        <w:t xml:space="preserve"> </w:t>
      </w:r>
      <w:r w:rsidR="00A463BF">
        <w:rPr>
          <w:rFonts w:ascii="Calibri" w:hAnsi="Calibri"/>
        </w:rPr>
        <w:t>off</w:t>
      </w:r>
      <w:r w:rsidR="00A463BF">
        <w:rPr>
          <w:rFonts w:ascii="Calibri" w:hAnsi="Calibri"/>
          <w:spacing w:val="-3"/>
        </w:rPr>
        <w:t xml:space="preserve"> </w:t>
      </w:r>
      <w:r w:rsidR="00A463BF">
        <w:rPr>
          <w:rFonts w:ascii="Calibri" w:hAnsi="Calibri"/>
        </w:rPr>
        <w:t>on</w:t>
      </w:r>
      <w:r w:rsidR="00A463BF">
        <w:rPr>
          <w:rFonts w:ascii="Calibri" w:hAnsi="Calibri"/>
          <w:spacing w:val="-3"/>
        </w:rPr>
        <w:t xml:space="preserve"> </w:t>
      </w:r>
      <w:r w:rsidR="00A463BF">
        <w:rPr>
          <w:rFonts w:ascii="Calibri" w:hAnsi="Calibri"/>
        </w:rPr>
        <w:t>the</w:t>
      </w:r>
      <w:r w:rsidR="00A463BF">
        <w:rPr>
          <w:rFonts w:ascii="Calibri" w:hAnsi="Calibri"/>
          <w:spacing w:val="-2"/>
        </w:rPr>
        <w:t xml:space="preserve"> </w:t>
      </w:r>
      <w:r w:rsidR="00A463BF">
        <w:rPr>
          <w:rFonts w:ascii="Calibri" w:hAnsi="Calibri"/>
        </w:rPr>
        <w:t>completed</w:t>
      </w:r>
      <w:r w:rsidR="00A463BF">
        <w:rPr>
          <w:rFonts w:ascii="Calibri" w:hAnsi="Calibri"/>
          <w:spacing w:val="-3"/>
        </w:rPr>
        <w:t xml:space="preserve"> </w:t>
      </w:r>
      <w:r w:rsidR="00A463BF">
        <w:rPr>
          <w:rFonts w:ascii="Calibri" w:hAnsi="Calibri"/>
        </w:rPr>
        <w:t>project</w:t>
      </w:r>
      <w:r w:rsidR="00A463BF">
        <w:rPr>
          <w:rFonts w:ascii="Calibri" w:hAnsi="Calibri"/>
          <w:spacing w:val="-2"/>
        </w:rPr>
        <w:t xml:space="preserve"> </w:t>
      </w:r>
      <w:r w:rsidR="00A463BF">
        <w:rPr>
          <w:rFonts w:ascii="Calibri" w:hAnsi="Calibri"/>
        </w:rPr>
        <w:t>plan.</w:t>
      </w:r>
      <w:r w:rsidR="00A463BF">
        <w:rPr>
          <w:rFonts w:ascii="Calibri" w:hAnsi="Calibri"/>
          <w:spacing w:val="-2"/>
        </w:rPr>
        <w:t xml:space="preserve"> </w:t>
      </w:r>
      <w:r w:rsidR="00A463BF">
        <w:rPr>
          <w:rFonts w:ascii="Calibri" w:hAnsi="Calibri"/>
        </w:rPr>
        <w:t>An</w:t>
      </w:r>
      <w:r w:rsidR="00A463BF">
        <w:rPr>
          <w:rFonts w:ascii="Calibri" w:hAnsi="Calibri"/>
          <w:spacing w:val="-2"/>
        </w:rPr>
        <w:t xml:space="preserve"> </w:t>
      </w:r>
      <w:r w:rsidR="00A463BF">
        <w:rPr>
          <w:rFonts w:ascii="Calibri" w:hAnsi="Calibri"/>
        </w:rPr>
        <w:t>example NHGRI checklist of key areas of interest can be found on ORF’s website at the following link.</w:t>
      </w:r>
      <w:hyperlink r:id="rId17">
        <w:r w:rsidR="00A463BF">
          <w:rPr>
            <w:rFonts w:ascii="Calibri" w:hAnsi="Calibri"/>
            <w:color w:val="0562C1"/>
            <w:u w:val="single" w:color="0562C1"/>
          </w:rPr>
          <w:t xml:space="preserve"> https://www.orf.od.nih.gov/ProjectResources/ProjectTools/Pages/checklistscientist.aspx</w:t>
        </w:r>
      </w:hyperlink>
    </w:p>
    <w:p w14:paraId="6EB1FF36" w14:textId="77777777" w:rsidR="00AE70D1" w:rsidRDefault="00AE70D1">
      <w:pPr>
        <w:pStyle w:val="BodyText"/>
        <w:spacing w:before="7"/>
        <w:rPr>
          <w:rFonts w:ascii="Calibri"/>
          <w:sz w:val="8"/>
        </w:rPr>
      </w:pPr>
    </w:p>
    <w:p w14:paraId="3F089E4F" w14:textId="77777777" w:rsidR="005A1F52" w:rsidRPr="005A1F52" w:rsidRDefault="005A1F52" w:rsidP="005A1F52">
      <w:pPr>
        <w:pStyle w:val="ListParagraph"/>
        <w:numPr>
          <w:ilvl w:val="0"/>
          <w:numId w:val="1"/>
        </w:numPr>
        <w:tabs>
          <w:tab w:val="left" w:pos="289"/>
        </w:tabs>
        <w:spacing w:before="55" w:line="259" w:lineRule="auto"/>
        <w:ind w:left="120" w:right="1416" w:firstLine="0"/>
        <w:rPr>
          <w:rFonts w:hAnsi="Calibri"/>
        </w:rPr>
      </w:pPr>
      <w:r w:rsidRPr="005A1F52">
        <w:rPr>
          <w:rFonts w:ascii="Calibri" w:hAnsi="Calibri"/>
        </w:rPr>
        <w:t xml:space="preserve"> </w:t>
      </w:r>
      <w:r w:rsidR="00A463BF" w:rsidRPr="005A1F52">
        <w:rPr>
          <w:rFonts w:ascii="Calibri" w:hAnsi="Calibri"/>
        </w:rPr>
        <w:t>The</w:t>
      </w:r>
      <w:r w:rsidR="00A463BF" w:rsidRPr="005A1F52">
        <w:rPr>
          <w:rFonts w:ascii="Calibri" w:hAnsi="Calibri"/>
          <w:spacing w:val="-3"/>
        </w:rPr>
        <w:t xml:space="preserve"> </w:t>
      </w:r>
      <w:r w:rsidR="00A463BF" w:rsidRPr="005A1F52">
        <w:rPr>
          <w:rFonts w:ascii="Calibri" w:hAnsi="Calibri"/>
        </w:rPr>
        <w:t>IC</w:t>
      </w:r>
      <w:r w:rsidR="00A463BF" w:rsidRPr="005A1F52">
        <w:rPr>
          <w:rFonts w:ascii="Calibri" w:hAnsi="Calibri"/>
          <w:spacing w:val="-3"/>
        </w:rPr>
        <w:t xml:space="preserve"> </w:t>
      </w:r>
      <w:r w:rsidR="00A463BF" w:rsidRPr="005A1F52">
        <w:rPr>
          <w:rFonts w:ascii="Calibri" w:hAnsi="Calibri"/>
        </w:rPr>
        <w:t>POC</w:t>
      </w:r>
      <w:r w:rsidR="00A463BF" w:rsidRPr="005A1F52">
        <w:rPr>
          <w:rFonts w:ascii="Calibri" w:hAnsi="Calibri"/>
          <w:spacing w:val="-2"/>
        </w:rPr>
        <w:t xml:space="preserve"> </w:t>
      </w:r>
      <w:r w:rsidR="00A463BF" w:rsidRPr="005A1F52">
        <w:rPr>
          <w:rFonts w:ascii="Calibri" w:hAnsi="Calibri"/>
        </w:rPr>
        <w:t>and</w:t>
      </w:r>
      <w:r w:rsidR="00A463BF" w:rsidRPr="005A1F52">
        <w:rPr>
          <w:rFonts w:ascii="Calibri" w:hAnsi="Calibri"/>
          <w:spacing w:val="-3"/>
        </w:rPr>
        <w:t xml:space="preserve"> </w:t>
      </w:r>
      <w:r w:rsidR="00A463BF" w:rsidRPr="005A1F52">
        <w:rPr>
          <w:rFonts w:ascii="Calibri" w:hAnsi="Calibri"/>
        </w:rPr>
        <w:t>PO</w:t>
      </w:r>
      <w:r w:rsidR="00A463BF" w:rsidRPr="005A1F52">
        <w:rPr>
          <w:rFonts w:ascii="Calibri" w:hAnsi="Calibri"/>
          <w:spacing w:val="-3"/>
        </w:rPr>
        <w:t xml:space="preserve"> </w:t>
      </w:r>
      <w:r w:rsidR="00A463BF" w:rsidRPr="005A1F52">
        <w:rPr>
          <w:rFonts w:ascii="Calibri" w:hAnsi="Calibri"/>
        </w:rPr>
        <w:t>meet</w:t>
      </w:r>
      <w:r w:rsidR="00A463BF" w:rsidRPr="005A1F52">
        <w:rPr>
          <w:rFonts w:ascii="Calibri" w:hAnsi="Calibri"/>
          <w:spacing w:val="-3"/>
        </w:rPr>
        <w:t xml:space="preserve"> </w:t>
      </w:r>
      <w:r w:rsidR="00A463BF" w:rsidRPr="005A1F52">
        <w:rPr>
          <w:rFonts w:ascii="Calibri" w:hAnsi="Calibri"/>
        </w:rPr>
        <w:t>with</w:t>
      </w:r>
      <w:r w:rsidR="00A463BF" w:rsidRPr="005A1F52">
        <w:rPr>
          <w:rFonts w:ascii="Calibri" w:hAnsi="Calibri"/>
          <w:spacing w:val="-2"/>
        </w:rPr>
        <w:t xml:space="preserve"> </w:t>
      </w:r>
      <w:r w:rsidR="00A463BF" w:rsidRPr="005A1F52">
        <w:rPr>
          <w:rFonts w:ascii="Calibri" w:hAnsi="Calibri"/>
        </w:rPr>
        <w:t>the</w:t>
      </w:r>
      <w:r w:rsidR="00A463BF" w:rsidRPr="005A1F52">
        <w:rPr>
          <w:rFonts w:ascii="Calibri" w:hAnsi="Calibri"/>
          <w:spacing w:val="-3"/>
        </w:rPr>
        <w:t xml:space="preserve"> </w:t>
      </w:r>
      <w:r w:rsidR="00A463BF" w:rsidRPr="005A1F52">
        <w:rPr>
          <w:rFonts w:ascii="Calibri" w:hAnsi="Calibri"/>
        </w:rPr>
        <w:t>project’s</w:t>
      </w:r>
      <w:r w:rsidR="00A463BF" w:rsidRPr="005A1F52">
        <w:rPr>
          <w:rFonts w:ascii="Calibri" w:hAnsi="Calibri"/>
          <w:spacing w:val="-4"/>
        </w:rPr>
        <w:t xml:space="preserve"> </w:t>
      </w:r>
      <w:r w:rsidR="00A463BF" w:rsidRPr="005A1F52">
        <w:rPr>
          <w:rFonts w:ascii="Calibri" w:hAnsi="Calibri"/>
        </w:rPr>
        <w:t>Architect/Engineer</w:t>
      </w:r>
      <w:r w:rsidR="00A463BF" w:rsidRPr="005A1F52">
        <w:rPr>
          <w:rFonts w:ascii="Calibri" w:hAnsi="Calibri"/>
          <w:spacing w:val="-3"/>
        </w:rPr>
        <w:t xml:space="preserve"> </w:t>
      </w:r>
      <w:r w:rsidR="00A463BF" w:rsidRPr="005A1F52">
        <w:rPr>
          <w:rFonts w:ascii="Calibri" w:hAnsi="Calibri"/>
        </w:rPr>
        <w:t>to</w:t>
      </w:r>
      <w:r w:rsidR="00A463BF" w:rsidRPr="005A1F52">
        <w:rPr>
          <w:rFonts w:ascii="Calibri" w:hAnsi="Calibri"/>
          <w:spacing w:val="-1"/>
        </w:rPr>
        <w:t xml:space="preserve"> </w:t>
      </w:r>
      <w:r w:rsidR="00A463BF" w:rsidRPr="005A1F52">
        <w:rPr>
          <w:rFonts w:ascii="Calibri" w:hAnsi="Calibri"/>
        </w:rPr>
        <w:t>discuss</w:t>
      </w:r>
      <w:r w:rsidR="00A463BF" w:rsidRPr="005A1F52">
        <w:rPr>
          <w:rFonts w:ascii="Calibri" w:hAnsi="Calibri"/>
          <w:spacing w:val="-2"/>
        </w:rPr>
        <w:t xml:space="preserve"> </w:t>
      </w:r>
      <w:r w:rsidR="00A463BF" w:rsidRPr="005A1F52">
        <w:rPr>
          <w:rFonts w:ascii="Calibri" w:hAnsi="Calibri"/>
        </w:rPr>
        <w:t>the</w:t>
      </w:r>
      <w:r w:rsidR="00A463BF" w:rsidRPr="005A1F52">
        <w:rPr>
          <w:rFonts w:ascii="Calibri" w:hAnsi="Calibri"/>
          <w:spacing w:val="-3"/>
        </w:rPr>
        <w:t xml:space="preserve"> </w:t>
      </w:r>
      <w:r w:rsidR="00A463BF" w:rsidRPr="005A1F52">
        <w:rPr>
          <w:rFonts w:ascii="Calibri" w:hAnsi="Calibri"/>
        </w:rPr>
        <w:t>program</w:t>
      </w:r>
      <w:r w:rsidR="00A463BF" w:rsidRPr="005A1F52">
        <w:rPr>
          <w:rFonts w:ascii="Calibri" w:hAnsi="Calibri"/>
          <w:spacing w:val="-3"/>
        </w:rPr>
        <w:t xml:space="preserve"> </w:t>
      </w:r>
      <w:r w:rsidR="00A463BF" w:rsidRPr="005A1F52">
        <w:rPr>
          <w:rFonts w:ascii="Calibri" w:hAnsi="Calibri"/>
        </w:rPr>
        <w:t>of requirements.</w:t>
      </w:r>
      <w:r w:rsidRPr="005A1F52">
        <w:rPr>
          <w:rFonts w:ascii="Calibri" w:hAnsi="Calibri"/>
        </w:rPr>
        <w:t xml:space="preserve"> </w:t>
      </w:r>
      <w:r>
        <w:t xml:space="preserve"> </w:t>
      </w:r>
      <w:r w:rsidR="00A463BF">
        <w:t>The IC POC approves design drawings submitted at each submission phase as per the scope of</w:t>
      </w:r>
      <w:r w:rsidR="00A463BF" w:rsidRPr="005A1F52">
        <w:rPr>
          <w:spacing w:val="-32"/>
        </w:rPr>
        <w:t xml:space="preserve"> </w:t>
      </w:r>
      <w:r w:rsidR="00A463BF">
        <w:t>work.</w:t>
      </w:r>
      <w:r>
        <w:t xml:space="preserve"> </w:t>
      </w:r>
    </w:p>
    <w:p w14:paraId="48AE1EEE" w14:textId="77777777" w:rsidR="005A1F52" w:rsidRPr="005A1F52" w:rsidRDefault="005A1F52" w:rsidP="005A1F52">
      <w:pPr>
        <w:pStyle w:val="ListParagraph"/>
        <w:rPr>
          <w:rFonts w:hAnsi="Calibri"/>
        </w:rPr>
      </w:pPr>
    </w:p>
    <w:p w14:paraId="5459543E" w14:textId="3DE96D2C" w:rsidR="00AE70D1" w:rsidRPr="005A1F52" w:rsidRDefault="005A1F52" w:rsidP="005A1F52">
      <w:pPr>
        <w:pStyle w:val="ListParagraph"/>
        <w:numPr>
          <w:ilvl w:val="0"/>
          <w:numId w:val="1"/>
        </w:numPr>
        <w:tabs>
          <w:tab w:val="left" w:pos="289"/>
        </w:tabs>
        <w:spacing w:before="55" w:line="259" w:lineRule="auto"/>
        <w:ind w:left="120" w:right="1416" w:firstLine="0"/>
        <w:rPr>
          <w:rFonts w:hAnsi="Calibri"/>
        </w:rPr>
      </w:pPr>
      <w:r>
        <w:rPr>
          <w:rFonts w:hAnsi="Calibri"/>
        </w:rPr>
        <w:t xml:space="preserve"> </w:t>
      </w:r>
      <w:r w:rsidR="00A463BF" w:rsidRPr="005A1F52">
        <w:rPr>
          <w:rFonts w:hAnsi="Calibri"/>
        </w:rPr>
        <w:t>The</w:t>
      </w:r>
      <w:r w:rsidR="00A463BF" w:rsidRPr="005A1F52">
        <w:rPr>
          <w:rFonts w:hAnsi="Calibri"/>
          <w:spacing w:val="-3"/>
        </w:rPr>
        <w:t xml:space="preserve"> </w:t>
      </w:r>
      <w:r w:rsidR="00A463BF" w:rsidRPr="005A1F52">
        <w:rPr>
          <w:rFonts w:hAnsi="Calibri"/>
        </w:rPr>
        <w:t>IC</w:t>
      </w:r>
      <w:r w:rsidR="00A463BF" w:rsidRPr="005A1F52">
        <w:rPr>
          <w:rFonts w:hAnsi="Calibri"/>
          <w:spacing w:val="-2"/>
        </w:rPr>
        <w:t xml:space="preserve"> </w:t>
      </w:r>
      <w:r w:rsidR="00A463BF" w:rsidRPr="005A1F52">
        <w:rPr>
          <w:rFonts w:hAnsi="Calibri"/>
        </w:rPr>
        <w:t>POC</w:t>
      </w:r>
      <w:r w:rsidR="00A463BF" w:rsidRPr="005A1F52">
        <w:rPr>
          <w:rFonts w:hAnsi="Calibri"/>
          <w:spacing w:val="-2"/>
        </w:rPr>
        <w:t xml:space="preserve"> </w:t>
      </w:r>
      <w:r w:rsidR="00A463BF" w:rsidRPr="005A1F52">
        <w:rPr>
          <w:rFonts w:hAnsi="Calibri"/>
        </w:rPr>
        <w:t>and</w:t>
      </w:r>
      <w:r w:rsidR="00A463BF" w:rsidRPr="005A1F52">
        <w:rPr>
          <w:rFonts w:hAnsi="Calibri"/>
          <w:spacing w:val="-3"/>
        </w:rPr>
        <w:t xml:space="preserve"> </w:t>
      </w:r>
      <w:r w:rsidR="00A463BF" w:rsidRPr="005A1F52">
        <w:rPr>
          <w:rFonts w:hAnsi="Calibri"/>
        </w:rPr>
        <w:t>Fiscal</w:t>
      </w:r>
      <w:r w:rsidR="00A463BF" w:rsidRPr="005A1F52">
        <w:rPr>
          <w:rFonts w:hAnsi="Calibri"/>
          <w:spacing w:val="-2"/>
        </w:rPr>
        <w:t xml:space="preserve"> </w:t>
      </w:r>
      <w:r w:rsidR="00A463BF" w:rsidRPr="005A1F52">
        <w:rPr>
          <w:rFonts w:hAnsi="Calibri"/>
        </w:rPr>
        <w:t>Authority</w:t>
      </w:r>
      <w:r w:rsidR="00A463BF" w:rsidRPr="005A1F52">
        <w:rPr>
          <w:rFonts w:hAnsi="Calibri"/>
          <w:spacing w:val="-4"/>
        </w:rPr>
        <w:t xml:space="preserve"> </w:t>
      </w:r>
      <w:r w:rsidR="00A463BF" w:rsidRPr="005A1F52">
        <w:rPr>
          <w:rFonts w:hAnsi="Calibri"/>
        </w:rPr>
        <w:t>attend</w:t>
      </w:r>
      <w:r w:rsidR="00A463BF" w:rsidRPr="005A1F52">
        <w:rPr>
          <w:rFonts w:hAnsi="Calibri"/>
          <w:spacing w:val="-3"/>
        </w:rPr>
        <w:t xml:space="preserve"> </w:t>
      </w:r>
      <w:r w:rsidR="00A463BF" w:rsidRPr="005A1F52">
        <w:rPr>
          <w:rFonts w:hAnsi="Calibri"/>
        </w:rPr>
        <w:t>a</w:t>
      </w:r>
      <w:r w:rsidR="00A463BF" w:rsidRPr="005A1F52">
        <w:rPr>
          <w:rFonts w:hAnsi="Calibri"/>
          <w:spacing w:val="-3"/>
        </w:rPr>
        <w:t xml:space="preserve"> </w:t>
      </w:r>
      <w:r w:rsidR="00A463BF" w:rsidRPr="005A1F52">
        <w:rPr>
          <w:rFonts w:hAnsi="Calibri"/>
        </w:rPr>
        <w:t>pre-construction</w:t>
      </w:r>
      <w:r w:rsidR="00A463BF" w:rsidRPr="005A1F52">
        <w:rPr>
          <w:rFonts w:hAnsi="Calibri"/>
          <w:spacing w:val="-2"/>
        </w:rPr>
        <w:t xml:space="preserve"> </w:t>
      </w:r>
      <w:r w:rsidR="00A463BF" w:rsidRPr="005A1F52">
        <w:rPr>
          <w:rFonts w:hAnsi="Calibri"/>
        </w:rPr>
        <w:t>meeting</w:t>
      </w:r>
      <w:r w:rsidR="00A463BF" w:rsidRPr="005A1F52">
        <w:rPr>
          <w:rFonts w:hAnsi="Calibri"/>
          <w:spacing w:val="-4"/>
        </w:rPr>
        <w:t xml:space="preserve"> </w:t>
      </w:r>
      <w:r w:rsidR="00A463BF" w:rsidRPr="005A1F52">
        <w:rPr>
          <w:rFonts w:hAnsi="Calibri"/>
        </w:rPr>
        <w:t>hosted</w:t>
      </w:r>
      <w:r w:rsidR="00A463BF" w:rsidRPr="005A1F52">
        <w:rPr>
          <w:rFonts w:hAnsi="Calibri"/>
          <w:spacing w:val="-3"/>
        </w:rPr>
        <w:t xml:space="preserve"> </w:t>
      </w:r>
      <w:r w:rsidR="00A463BF" w:rsidRPr="005A1F52">
        <w:rPr>
          <w:rFonts w:hAnsi="Calibri"/>
        </w:rPr>
        <w:t>by</w:t>
      </w:r>
      <w:r w:rsidR="00A463BF" w:rsidRPr="005A1F52">
        <w:rPr>
          <w:rFonts w:hAnsi="Calibri"/>
          <w:spacing w:val="-1"/>
        </w:rPr>
        <w:t xml:space="preserve"> </w:t>
      </w:r>
      <w:r w:rsidR="00A463BF" w:rsidRPr="005A1F52">
        <w:rPr>
          <w:rFonts w:hAnsi="Calibri"/>
        </w:rPr>
        <w:t>the</w:t>
      </w:r>
      <w:r w:rsidR="00A463BF" w:rsidRPr="005A1F52">
        <w:rPr>
          <w:rFonts w:hAnsi="Calibri"/>
          <w:spacing w:val="-3"/>
        </w:rPr>
        <w:t xml:space="preserve"> </w:t>
      </w:r>
      <w:r w:rsidR="00A463BF" w:rsidRPr="005A1F52">
        <w:rPr>
          <w:rFonts w:hAnsi="Calibri"/>
        </w:rPr>
        <w:t>PO</w:t>
      </w:r>
      <w:r w:rsidR="00A463BF" w:rsidRPr="005A1F52">
        <w:rPr>
          <w:rFonts w:hAnsi="Calibri"/>
          <w:spacing w:val="-2"/>
        </w:rPr>
        <w:t xml:space="preserve"> </w:t>
      </w:r>
      <w:r w:rsidR="00A463BF" w:rsidRPr="005A1F52">
        <w:rPr>
          <w:rFonts w:hAnsi="Calibri"/>
        </w:rPr>
        <w:t>to</w:t>
      </w:r>
      <w:r w:rsidR="00A463BF" w:rsidRPr="005A1F52">
        <w:rPr>
          <w:rFonts w:hAnsi="Calibri"/>
          <w:spacing w:val="-2"/>
        </w:rPr>
        <w:t xml:space="preserve"> </w:t>
      </w:r>
      <w:r w:rsidR="00A463BF" w:rsidRPr="005A1F52">
        <w:rPr>
          <w:rFonts w:hAnsi="Calibri"/>
        </w:rPr>
        <w:t>clarify</w:t>
      </w:r>
      <w:r w:rsidR="00A463BF" w:rsidRPr="005A1F52">
        <w:rPr>
          <w:rFonts w:hAnsi="Calibri"/>
          <w:spacing w:val="-3"/>
        </w:rPr>
        <w:t xml:space="preserve"> </w:t>
      </w:r>
      <w:r w:rsidR="00A463BF" w:rsidRPr="005A1F52">
        <w:rPr>
          <w:rFonts w:hAnsi="Calibri"/>
        </w:rPr>
        <w:t>the project</w:t>
      </w:r>
      <w:r w:rsidR="00A463BF" w:rsidRPr="005A1F52">
        <w:rPr>
          <w:rFonts w:hAnsi="Calibri"/>
        </w:rPr>
        <w:t>’</w:t>
      </w:r>
      <w:r w:rsidR="00A463BF" w:rsidRPr="005A1F52">
        <w:rPr>
          <w:rFonts w:hAnsi="Calibri"/>
        </w:rPr>
        <w:t>s scope, schedule, and budget before construction</w:t>
      </w:r>
      <w:r w:rsidR="00A463BF" w:rsidRPr="005A1F52">
        <w:rPr>
          <w:rFonts w:hAnsi="Calibri"/>
          <w:spacing w:val="-5"/>
        </w:rPr>
        <w:t xml:space="preserve"> </w:t>
      </w:r>
      <w:r w:rsidR="00A463BF" w:rsidRPr="005A1F52">
        <w:rPr>
          <w:rFonts w:hAnsi="Calibri"/>
        </w:rPr>
        <w:t>begins.</w:t>
      </w:r>
    </w:p>
    <w:p w14:paraId="0201A2D2" w14:textId="3F0E03DB" w:rsidR="00AE70D1" w:rsidRDefault="005A1F52">
      <w:pPr>
        <w:pStyle w:val="ListParagraph"/>
        <w:numPr>
          <w:ilvl w:val="0"/>
          <w:numId w:val="1"/>
        </w:numPr>
        <w:tabs>
          <w:tab w:val="left" w:pos="289"/>
        </w:tabs>
        <w:spacing w:before="159"/>
        <w:ind w:left="120" w:right="105" w:firstLine="0"/>
        <w:rPr>
          <w:rFonts w:ascii="Calibri"/>
        </w:rPr>
      </w:pPr>
      <w:r>
        <w:rPr>
          <w:rFonts w:ascii="Calibri"/>
        </w:rPr>
        <w:t xml:space="preserve"> </w:t>
      </w:r>
      <w:r w:rsidR="00A463BF">
        <w:rPr>
          <w:rFonts w:ascii="Calibri"/>
        </w:rPr>
        <w:t>The</w:t>
      </w:r>
      <w:r w:rsidR="00A463BF">
        <w:rPr>
          <w:rFonts w:ascii="Calibri"/>
          <w:spacing w:val="-3"/>
        </w:rPr>
        <w:t xml:space="preserve"> </w:t>
      </w:r>
      <w:r w:rsidR="00A463BF">
        <w:rPr>
          <w:rFonts w:ascii="Calibri"/>
        </w:rPr>
        <w:t>IC</w:t>
      </w:r>
      <w:r w:rsidR="00A463BF">
        <w:rPr>
          <w:rFonts w:ascii="Calibri"/>
          <w:spacing w:val="-3"/>
        </w:rPr>
        <w:t xml:space="preserve"> </w:t>
      </w:r>
      <w:r w:rsidR="00A463BF">
        <w:rPr>
          <w:rFonts w:ascii="Calibri"/>
        </w:rPr>
        <w:t>POC</w:t>
      </w:r>
      <w:r w:rsidR="00A463BF">
        <w:rPr>
          <w:rFonts w:ascii="Calibri"/>
          <w:spacing w:val="-2"/>
        </w:rPr>
        <w:t xml:space="preserve"> </w:t>
      </w:r>
      <w:r w:rsidR="00A463BF">
        <w:rPr>
          <w:rFonts w:ascii="Calibri"/>
        </w:rPr>
        <w:t>attends</w:t>
      </w:r>
      <w:r w:rsidR="00A463BF">
        <w:rPr>
          <w:rFonts w:ascii="Calibri"/>
          <w:spacing w:val="-2"/>
        </w:rPr>
        <w:t xml:space="preserve"> </w:t>
      </w:r>
      <w:r w:rsidR="00A463BF">
        <w:rPr>
          <w:rFonts w:ascii="Calibri"/>
        </w:rPr>
        <w:t>weekly</w:t>
      </w:r>
      <w:r w:rsidR="00A463BF">
        <w:rPr>
          <w:rFonts w:ascii="Calibri"/>
          <w:spacing w:val="-3"/>
        </w:rPr>
        <w:t xml:space="preserve"> </w:t>
      </w:r>
      <w:r w:rsidR="00A463BF">
        <w:rPr>
          <w:rFonts w:ascii="Calibri"/>
        </w:rPr>
        <w:t>construction</w:t>
      </w:r>
      <w:r w:rsidR="00A463BF">
        <w:rPr>
          <w:rFonts w:ascii="Calibri"/>
          <w:spacing w:val="-4"/>
        </w:rPr>
        <w:t xml:space="preserve"> </w:t>
      </w:r>
      <w:r w:rsidR="00A463BF">
        <w:rPr>
          <w:rFonts w:ascii="Calibri"/>
        </w:rPr>
        <w:t>progress</w:t>
      </w:r>
      <w:r w:rsidR="00A463BF">
        <w:rPr>
          <w:rFonts w:ascii="Calibri"/>
          <w:spacing w:val="-4"/>
        </w:rPr>
        <w:t xml:space="preserve"> </w:t>
      </w:r>
      <w:r w:rsidR="00A463BF">
        <w:rPr>
          <w:rFonts w:ascii="Calibri"/>
        </w:rPr>
        <w:t>meetings</w:t>
      </w:r>
      <w:r w:rsidR="00A463BF">
        <w:rPr>
          <w:rFonts w:ascii="Calibri"/>
          <w:spacing w:val="-2"/>
        </w:rPr>
        <w:t xml:space="preserve"> </w:t>
      </w:r>
      <w:r w:rsidR="00A463BF">
        <w:rPr>
          <w:rFonts w:ascii="Calibri"/>
        </w:rPr>
        <w:t>to</w:t>
      </w:r>
      <w:r w:rsidR="00A463BF">
        <w:rPr>
          <w:rFonts w:ascii="Calibri"/>
          <w:spacing w:val="-2"/>
        </w:rPr>
        <w:t xml:space="preserve"> </w:t>
      </w:r>
      <w:r w:rsidR="00A463BF">
        <w:rPr>
          <w:rFonts w:ascii="Calibri"/>
        </w:rPr>
        <w:t>keep</w:t>
      </w:r>
      <w:r w:rsidR="00A463BF">
        <w:rPr>
          <w:rFonts w:ascii="Calibri"/>
          <w:spacing w:val="-4"/>
        </w:rPr>
        <w:t xml:space="preserve"> </w:t>
      </w:r>
      <w:r w:rsidR="00A463BF">
        <w:rPr>
          <w:rFonts w:ascii="Calibri"/>
        </w:rPr>
        <w:t>updated</w:t>
      </w:r>
      <w:r w:rsidR="00A463BF">
        <w:rPr>
          <w:rFonts w:ascii="Calibri"/>
          <w:spacing w:val="-3"/>
        </w:rPr>
        <w:t xml:space="preserve"> </w:t>
      </w:r>
      <w:r w:rsidR="00A463BF">
        <w:rPr>
          <w:rFonts w:ascii="Calibri"/>
        </w:rPr>
        <w:t>on</w:t>
      </w:r>
      <w:r w:rsidR="00A463BF">
        <w:rPr>
          <w:rFonts w:ascii="Calibri"/>
          <w:spacing w:val="-4"/>
        </w:rPr>
        <w:t xml:space="preserve"> </w:t>
      </w:r>
      <w:r w:rsidR="00A463BF">
        <w:rPr>
          <w:rFonts w:ascii="Calibri"/>
        </w:rPr>
        <w:t>when</w:t>
      </w:r>
      <w:r w:rsidR="00A463BF">
        <w:rPr>
          <w:rFonts w:ascii="Calibri"/>
          <w:spacing w:val="-4"/>
        </w:rPr>
        <w:t xml:space="preserve"> </w:t>
      </w:r>
      <w:r w:rsidR="00A463BF">
        <w:rPr>
          <w:rFonts w:ascii="Calibri"/>
        </w:rPr>
        <w:t>additional</w:t>
      </w:r>
      <w:r w:rsidR="00A463BF">
        <w:rPr>
          <w:rFonts w:ascii="Calibri"/>
          <w:spacing w:val="-3"/>
        </w:rPr>
        <w:t xml:space="preserve"> </w:t>
      </w:r>
      <w:r w:rsidR="00A463BF">
        <w:rPr>
          <w:rFonts w:ascii="Calibri"/>
        </w:rPr>
        <w:t>orders must be submitted to NBS. Key submittal dates include the</w:t>
      </w:r>
      <w:r w:rsidR="00A463BF">
        <w:rPr>
          <w:rFonts w:ascii="Calibri"/>
          <w:spacing w:val="-6"/>
        </w:rPr>
        <w:t xml:space="preserve"> </w:t>
      </w:r>
      <w:r w:rsidR="00A463BF">
        <w:rPr>
          <w:rFonts w:ascii="Calibri"/>
        </w:rPr>
        <w:t>following;</w:t>
      </w:r>
    </w:p>
    <w:p w14:paraId="13D01308" w14:textId="77777777" w:rsidR="00AE70D1" w:rsidRDefault="00AE70D1">
      <w:pPr>
        <w:pStyle w:val="BodyText"/>
        <w:spacing w:before="11"/>
        <w:rPr>
          <w:rFonts w:ascii="Calibri"/>
          <w:sz w:val="21"/>
        </w:rPr>
      </w:pPr>
    </w:p>
    <w:p w14:paraId="5946AFEC" w14:textId="2A3FCA75" w:rsidR="007E3237" w:rsidRPr="007E3237" w:rsidRDefault="00A463BF" w:rsidP="005A1F52">
      <w:pPr>
        <w:pStyle w:val="BodyText"/>
        <w:spacing w:before="1"/>
        <w:ind w:left="840"/>
        <w:rPr>
          <w:rFonts w:ascii="Calibri" w:hAnsi="Calibri"/>
        </w:rPr>
      </w:pPr>
      <w:r>
        <w:rPr>
          <w:rFonts w:ascii="Calibri" w:hAnsi="Calibri"/>
        </w:rPr>
        <w:t>•</w:t>
      </w:r>
      <w:bookmarkStart w:id="6" w:name="_Hlk126579765"/>
      <w:r w:rsidR="00BB3F04">
        <w:rPr>
          <w:rFonts w:ascii="Calibri" w:hAnsi="Calibri"/>
        </w:rPr>
        <w:t>P</w:t>
      </w:r>
      <w:r>
        <w:rPr>
          <w:rFonts w:ascii="Calibri" w:hAnsi="Calibri"/>
        </w:rPr>
        <w:t>hone</w:t>
      </w:r>
      <w:r w:rsidR="00554F65">
        <w:rPr>
          <w:rFonts w:ascii="Calibri" w:hAnsi="Calibri"/>
        </w:rPr>
        <w:t xml:space="preserve"> (VOIP)</w:t>
      </w:r>
      <w:r>
        <w:rPr>
          <w:rFonts w:ascii="Calibri" w:hAnsi="Calibri"/>
        </w:rPr>
        <w:t xml:space="preserve"> and LAN orders</w:t>
      </w:r>
      <w:bookmarkEnd w:id="6"/>
    </w:p>
    <w:p w14:paraId="2B2A6E7E" w14:textId="7E44CBD9" w:rsidR="002266EB" w:rsidRDefault="007E3237" w:rsidP="002266EB">
      <w:pPr>
        <w:pStyle w:val="BodyText"/>
        <w:numPr>
          <w:ilvl w:val="0"/>
          <w:numId w:val="7"/>
        </w:numPr>
        <w:spacing w:line="275" w:lineRule="exact"/>
        <w:rPr>
          <w:rFonts w:ascii="Calibri" w:hAnsi="Calibri"/>
        </w:rPr>
      </w:pPr>
      <w:r w:rsidRPr="007E3237">
        <w:rPr>
          <w:rFonts w:ascii="Calibri" w:hAnsi="Calibri"/>
        </w:rPr>
        <w:t>Request</w:t>
      </w:r>
      <w:r w:rsidR="00554F65">
        <w:rPr>
          <w:rFonts w:ascii="Calibri" w:hAnsi="Calibri"/>
        </w:rPr>
        <w:t xml:space="preserve">s </w:t>
      </w:r>
      <w:r w:rsidRPr="007E3237">
        <w:rPr>
          <w:rFonts w:ascii="Calibri" w:hAnsi="Calibri"/>
        </w:rPr>
        <w:t xml:space="preserve">for </w:t>
      </w:r>
      <w:r w:rsidR="00554F65" w:rsidRPr="00554F65">
        <w:rPr>
          <w:rFonts w:ascii="Calibri" w:hAnsi="Calibri"/>
        </w:rPr>
        <w:t>Phone (VOIP)</w:t>
      </w:r>
      <w:r w:rsidR="00554F65">
        <w:rPr>
          <w:rFonts w:ascii="Calibri" w:hAnsi="Calibri"/>
        </w:rPr>
        <w:t>,</w:t>
      </w:r>
      <w:r w:rsidR="00554F65" w:rsidRPr="00554F65">
        <w:rPr>
          <w:rFonts w:ascii="Calibri" w:hAnsi="Calibri"/>
        </w:rPr>
        <w:t xml:space="preserve"> LAN </w:t>
      </w:r>
      <w:r w:rsidR="00554F65">
        <w:rPr>
          <w:rFonts w:ascii="Calibri" w:hAnsi="Calibri"/>
        </w:rPr>
        <w:t xml:space="preserve">and any other communications requirements should be made upon start of construction to determine </w:t>
      </w:r>
      <w:r w:rsidR="00217425">
        <w:rPr>
          <w:rFonts w:ascii="Calibri" w:hAnsi="Calibri"/>
        </w:rPr>
        <w:t xml:space="preserve">equipment </w:t>
      </w:r>
      <w:r w:rsidR="002266EB">
        <w:rPr>
          <w:rFonts w:ascii="Calibri" w:hAnsi="Calibri"/>
        </w:rPr>
        <w:t>procurement and installation</w:t>
      </w:r>
      <w:r w:rsidR="00554F65">
        <w:rPr>
          <w:rFonts w:ascii="Calibri" w:hAnsi="Calibri"/>
        </w:rPr>
        <w:t xml:space="preserve"> timeframes. </w:t>
      </w:r>
    </w:p>
    <w:p w14:paraId="31BBE09C" w14:textId="77777777" w:rsidR="002266EB" w:rsidRPr="002266EB" w:rsidRDefault="00554F65" w:rsidP="002266EB">
      <w:pPr>
        <w:pStyle w:val="BodyText"/>
        <w:numPr>
          <w:ilvl w:val="0"/>
          <w:numId w:val="7"/>
        </w:numPr>
        <w:spacing w:line="275" w:lineRule="exact"/>
        <w:rPr>
          <w:rFonts w:ascii="Calibri" w:hAnsi="Calibri"/>
        </w:rPr>
      </w:pPr>
      <w:r>
        <w:rPr>
          <w:rFonts w:ascii="Calibri" w:hAnsi="Calibri"/>
        </w:rPr>
        <w:t xml:space="preserve">Telecommunication system requirements need to be built into the design to support installation and activation of </w:t>
      </w:r>
      <w:r w:rsidR="002266EB">
        <w:rPr>
          <w:rFonts w:ascii="Calibri" w:hAnsi="Calibri"/>
        </w:rPr>
        <w:t>requirements.</w:t>
      </w:r>
      <w:r w:rsidR="002266EB" w:rsidRPr="002266EB">
        <w:t xml:space="preserve"> </w:t>
      </w:r>
    </w:p>
    <w:p w14:paraId="4DA0C475" w14:textId="304D4C48" w:rsidR="00A463BF" w:rsidRPr="00217425" w:rsidRDefault="002266EB" w:rsidP="002266EB">
      <w:pPr>
        <w:pStyle w:val="BodyText"/>
        <w:numPr>
          <w:ilvl w:val="0"/>
          <w:numId w:val="7"/>
        </w:numPr>
        <w:spacing w:line="275" w:lineRule="exact"/>
        <w:rPr>
          <w:rFonts w:ascii="Calibri" w:hAnsi="Calibri"/>
        </w:rPr>
      </w:pPr>
      <w:r>
        <w:t>Contact t</w:t>
      </w:r>
      <w:r w:rsidRPr="002266EB">
        <w:t xml:space="preserve">he </w:t>
      </w:r>
      <w:r>
        <w:t xml:space="preserve">NIH </w:t>
      </w:r>
      <w:r w:rsidRPr="002266EB">
        <w:t xml:space="preserve">Center for Information Technology (CIT) </w:t>
      </w:r>
      <w:r>
        <w:t xml:space="preserve">which </w:t>
      </w:r>
      <w:r w:rsidRPr="002266EB">
        <w:t>provides the NIH community with a secure and reliable IT infrastructure and a variety of IT and scientific computing services that support its mission-critical research and administrative activities.</w:t>
      </w:r>
    </w:p>
    <w:p w14:paraId="207427B9" w14:textId="77777777" w:rsidR="00217425" w:rsidRDefault="00217425" w:rsidP="00217425">
      <w:pPr>
        <w:pStyle w:val="BodyText"/>
        <w:spacing w:line="275" w:lineRule="exact"/>
        <w:rPr>
          <w:rFonts w:ascii="Calibri" w:hAnsi="Calibri"/>
        </w:rPr>
      </w:pPr>
    </w:p>
    <w:p w14:paraId="2B9DAC39" w14:textId="77777777" w:rsidR="00AE70D1" w:rsidRDefault="00A463BF">
      <w:pPr>
        <w:pStyle w:val="BodyText"/>
        <w:spacing w:before="1" w:line="268" w:lineRule="exact"/>
        <w:ind w:left="840"/>
        <w:rPr>
          <w:rFonts w:ascii="Calibri" w:hAnsi="Calibri"/>
        </w:rPr>
      </w:pPr>
      <w:r>
        <w:rPr>
          <w:rFonts w:ascii="Calibri" w:hAnsi="Calibri"/>
        </w:rPr>
        <w:t>•Locksmithing</w:t>
      </w:r>
    </w:p>
    <w:p w14:paraId="5AE4D9E0" w14:textId="1401815A" w:rsidR="00AE70D1" w:rsidRDefault="00A463BF" w:rsidP="00217425">
      <w:pPr>
        <w:pStyle w:val="BodyText"/>
        <w:numPr>
          <w:ilvl w:val="0"/>
          <w:numId w:val="8"/>
        </w:numPr>
        <w:spacing w:line="275" w:lineRule="exact"/>
        <w:rPr>
          <w:rFonts w:ascii="Calibri" w:hAnsi="Calibri"/>
        </w:rPr>
      </w:pPr>
      <w:r>
        <w:rPr>
          <w:rFonts w:ascii="Calibri" w:hAnsi="Calibri"/>
        </w:rPr>
        <w:t>Lock cylinder request if locks are being added/changed—60 days before completion</w:t>
      </w:r>
    </w:p>
    <w:p w14:paraId="1887580B" w14:textId="18CC0528" w:rsidR="00AE70D1" w:rsidRDefault="00A463BF" w:rsidP="00217425">
      <w:pPr>
        <w:pStyle w:val="BodyText"/>
        <w:numPr>
          <w:ilvl w:val="0"/>
          <w:numId w:val="8"/>
        </w:numPr>
        <w:spacing w:line="275" w:lineRule="exact"/>
        <w:rPr>
          <w:rFonts w:ascii="Calibri" w:hAnsi="Calibri"/>
        </w:rPr>
      </w:pPr>
      <w:r>
        <w:rPr>
          <w:rFonts w:ascii="Calibri" w:hAnsi="Calibri"/>
        </w:rPr>
        <w:t>Key lock requests—30 days before project completion,</w:t>
      </w:r>
    </w:p>
    <w:p w14:paraId="1B496687" w14:textId="65EE907E" w:rsidR="00AE70D1" w:rsidRDefault="00A463BF" w:rsidP="00217425">
      <w:pPr>
        <w:pStyle w:val="BodyText"/>
        <w:numPr>
          <w:ilvl w:val="0"/>
          <w:numId w:val="8"/>
        </w:numPr>
        <w:spacing w:line="275" w:lineRule="exact"/>
        <w:rPr>
          <w:rFonts w:ascii="Calibri"/>
        </w:rPr>
      </w:pPr>
      <w:r>
        <w:rPr>
          <w:rFonts w:ascii="Calibri"/>
        </w:rPr>
        <w:t>For orders of 20 or more keys, submit the order six weeks before completion.</w:t>
      </w:r>
    </w:p>
    <w:p w14:paraId="69EF1C49" w14:textId="77777777" w:rsidR="00AE70D1" w:rsidRDefault="00AE70D1">
      <w:pPr>
        <w:pStyle w:val="BodyText"/>
        <w:spacing w:before="1"/>
        <w:rPr>
          <w:rFonts w:ascii="Calibri"/>
        </w:rPr>
      </w:pPr>
    </w:p>
    <w:p w14:paraId="151D1528" w14:textId="697677B8" w:rsidR="00AE70D1" w:rsidRDefault="00A463BF">
      <w:pPr>
        <w:pStyle w:val="BodyText"/>
        <w:ind w:left="839"/>
        <w:rPr>
          <w:rFonts w:ascii="Calibri" w:hAnsi="Calibri"/>
        </w:rPr>
      </w:pPr>
      <w:r>
        <w:rPr>
          <w:rFonts w:ascii="Calibri" w:hAnsi="Calibri"/>
        </w:rPr>
        <w:t>•Signage</w:t>
      </w:r>
      <w:r w:rsidR="005A1F52">
        <w:rPr>
          <w:rFonts w:ascii="Calibri" w:hAnsi="Calibri"/>
        </w:rPr>
        <w:t xml:space="preserve"> - </w:t>
      </w:r>
      <w:r>
        <w:rPr>
          <w:rFonts w:ascii="Calibri" w:hAnsi="Calibri"/>
        </w:rPr>
        <w:t>Request new signage 3 months prior to move in.</w:t>
      </w:r>
    </w:p>
    <w:p w14:paraId="17C163F2" w14:textId="62FC1602" w:rsidR="00AE70D1" w:rsidRDefault="00A463BF">
      <w:pPr>
        <w:pStyle w:val="BodyText"/>
        <w:spacing w:before="181"/>
        <w:ind w:left="839"/>
        <w:rPr>
          <w:rFonts w:ascii="Calibri" w:hAnsi="Calibri"/>
        </w:rPr>
      </w:pPr>
      <w:r>
        <w:rPr>
          <w:rFonts w:ascii="Calibri" w:hAnsi="Calibri"/>
        </w:rPr>
        <w:t>•Floor waxing orders</w:t>
      </w:r>
      <w:r w:rsidR="005A1F52">
        <w:rPr>
          <w:rFonts w:ascii="Calibri" w:hAnsi="Calibri"/>
        </w:rPr>
        <w:t xml:space="preserve"> - </w:t>
      </w:r>
      <w:r>
        <w:rPr>
          <w:rFonts w:ascii="Calibri" w:hAnsi="Calibri"/>
        </w:rPr>
        <w:t>Submit once a room has been completed.</w:t>
      </w:r>
    </w:p>
    <w:p w14:paraId="7123E82B" w14:textId="609E08D0" w:rsidR="00AE70D1" w:rsidRDefault="00A463BF">
      <w:pPr>
        <w:pStyle w:val="BodyText"/>
        <w:spacing w:before="182"/>
        <w:ind w:left="839"/>
        <w:rPr>
          <w:rFonts w:ascii="Calibri" w:hAnsi="Calibri"/>
        </w:rPr>
      </w:pPr>
      <w:r>
        <w:rPr>
          <w:rFonts w:ascii="Calibri" w:hAnsi="Calibri"/>
        </w:rPr>
        <w:t>•Furniture</w:t>
      </w:r>
      <w:r w:rsidR="005A1F52">
        <w:rPr>
          <w:rFonts w:ascii="Calibri" w:hAnsi="Calibri"/>
        </w:rPr>
        <w:t xml:space="preserve">- </w:t>
      </w:r>
      <w:r>
        <w:rPr>
          <w:rFonts w:ascii="Calibri" w:hAnsi="Calibri"/>
        </w:rPr>
        <w:t>Order 6-8 weeks in advance.</w:t>
      </w:r>
    </w:p>
    <w:p w14:paraId="098EAEBD" w14:textId="77777777" w:rsidR="00AE70D1" w:rsidRDefault="00A463BF">
      <w:pPr>
        <w:pStyle w:val="BodyText"/>
        <w:spacing w:before="181" w:line="259" w:lineRule="auto"/>
        <w:ind w:left="839" w:right="127"/>
        <w:rPr>
          <w:rFonts w:ascii="Calibri" w:hAnsi="Calibri"/>
        </w:rPr>
      </w:pPr>
      <w:r>
        <w:rPr>
          <w:rFonts w:ascii="Calibri" w:hAnsi="Calibri"/>
        </w:rPr>
        <w:t>•Enter an NIH help desk ticket one week prior to moving for the IC’s LAN support department to be able to set up computers on the day of the move. IT does not move computers.</w:t>
      </w:r>
    </w:p>
    <w:p w14:paraId="41D2388A" w14:textId="77777777" w:rsidR="00AE70D1" w:rsidRDefault="00A463BF">
      <w:pPr>
        <w:pStyle w:val="BodyText"/>
        <w:spacing w:before="159"/>
        <w:ind w:left="839"/>
        <w:rPr>
          <w:rFonts w:ascii="Calibri" w:hAnsi="Calibri"/>
        </w:rPr>
      </w:pPr>
      <w:r>
        <w:rPr>
          <w:rFonts w:ascii="Calibri" w:hAnsi="Calibri"/>
        </w:rPr>
        <w:t>•Notify NIH recycling services 2-4 weeks prior to move for recycling.</w:t>
      </w:r>
    </w:p>
    <w:p w14:paraId="74221933" w14:textId="77777777" w:rsidR="005A1F52" w:rsidRDefault="005A1F52" w:rsidP="005A1F52">
      <w:r w:rsidRPr="005A1F52">
        <w:t xml:space="preserve"> </w:t>
      </w:r>
    </w:p>
    <w:p w14:paraId="271826DE" w14:textId="4902DC42" w:rsidR="005A1F52" w:rsidRDefault="005A1F52" w:rsidP="005A1F52">
      <w:pPr>
        <w:rPr>
          <w:rFonts w:ascii="Calibri"/>
        </w:rPr>
      </w:pPr>
      <w:r>
        <w:t xml:space="preserve">7.  </w:t>
      </w:r>
      <w:r w:rsidR="00A463BF" w:rsidRPr="005A1F52">
        <w:t xml:space="preserve">The AO coordinates the delivery, setup, and safety certification of laboratory </w:t>
      </w:r>
      <w:r w:rsidRPr="005A1F52">
        <w:t>e</w:t>
      </w:r>
      <w:r w:rsidR="00A463BF" w:rsidRPr="005A1F52">
        <w:t>quipment</w:t>
      </w:r>
      <w:r w:rsidR="00A463BF">
        <w:rPr>
          <w:rFonts w:ascii="Calibri"/>
        </w:rPr>
        <w:t xml:space="preserve">. </w:t>
      </w:r>
    </w:p>
    <w:p w14:paraId="445C89AB" w14:textId="77777777" w:rsidR="00E91451" w:rsidRDefault="00E91451" w:rsidP="00E91451">
      <w:pPr>
        <w:ind w:left="120"/>
        <w:rPr>
          <w:rFonts w:ascii="Calibri"/>
        </w:rPr>
      </w:pPr>
    </w:p>
    <w:p w14:paraId="04D86B92" w14:textId="5154FC36" w:rsidR="005A1F52" w:rsidRDefault="00E91451" w:rsidP="00E91451">
      <w:pPr>
        <w:ind w:left="120"/>
        <w:rPr>
          <w:rFonts w:ascii="Calibri"/>
        </w:rPr>
      </w:pPr>
      <w:r>
        <w:rPr>
          <w:rFonts w:ascii="Calibri"/>
        </w:rPr>
        <w:lastRenderedPageBreak/>
        <w:t>8.</w:t>
      </w:r>
      <w:r w:rsidR="00A463BF" w:rsidRPr="00E91451">
        <w:rPr>
          <w:rFonts w:ascii="Calibri"/>
        </w:rPr>
        <w:t>P</w:t>
      </w:r>
      <w:r w:rsidR="00236EE4" w:rsidRPr="00E91451">
        <w:rPr>
          <w:rFonts w:ascii="Calibri"/>
        </w:rPr>
        <w:t>re</w:t>
      </w:r>
      <w:r w:rsidR="00A463BF" w:rsidRPr="00E91451">
        <w:rPr>
          <w:rFonts w:ascii="Calibri"/>
        </w:rPr>
        <w:t xml:space="preserve">-construction: The IC POC contacts DOHS to arrange a </w:t>
      </w:r>
      <w:r w:rsidRPr="00E91451">
        <w:rPr>
          <w:rFonts w:ascii="Calibri"/>
        </w:rPr>
        <w:t>Lab Clearance</w:t>
      </w:r>
      <w:r w:rsidR="00A463BF" w:rsidRPr="00E91451">
        <w:rPr>
          <w:rFonts w:ascii="Calibri"/>
          <w:spacing w:val="-14"/>
        </w:rPr>
        <w:t xml:space="preserve"> </w:t>
      </w:r>
      <w:r w:rsidR="00A463BF" w:rsidRPr="00E91451">
        <w:rPr>
          <w:rFonts w:ascii="Calibri"/>
        </w:rPr>
        <w:t>walkthrough.</w:t>
      </w:r>
    </w:p>
    <w:p w14:paraId="44F3A02F" w14:textId="77777777" w:rsidR="00E91451" w:rsidRPr="00E91451" w:rsidRDefault="00E91451" w:rsidP="00E91451">
      <w:pPr>
        <w:ind w:left="120"/>
        <w:rPr>
          <w:rFonts w:ascii="Calibri"/>
        </w:rPr>
      </w:pPr>
    </w:p>
    <w:p w14:paraId="15F43A77" w14:textId="6C99E847" w:rsidR="00E91451" w:rsidRPr="00E91451" w:rsidRDefault="00E91451" w:rsidP="00E91451">
      <w:pPr>
        <w:rPr>
          <w:rFonts w:ascii="Calibri"/>
        </w:rPr>
      </w:pPr>
      <w:r w:rsidRPr="00E91451">
        <w:rPr>
          <w:rFonts w:ascii="Calibri"/>
        </w:rPr>
        <w:t>9.  P</w:t>
      </w:r>
      <w:r>
        <w:rPr>
          <w:rFonts w:ascii="Calibri"/>
        </w:rPr>
        <w:t>ost</w:t>
      </w:r>
      <w:r w:rsidRPr="00E91451">
        <w:rPr>
          <w:rFonts w:ascii="Calibri"/>
        </w:rPr>
        <w:t xml:space="preserve">-construction: The IC POC contacts DOHS to arrange a </w:t>
      </w:r>
      <w:r>
        <w:rPr>
          <w:rFonts w:ascii="Calibri"/>
        </w:rPr>
        <w:t xml:space="preserve">site </w:t>
      </w:r>
      <w:r w:rsidRPr="00E91451">
        <w:rPr>
          <w:rFonts w:ascii="Calibri"/>
        </w:rPr>
        <w:t>walkthrough.</w:t>
      </w:r>
    </w:p>
    <w:p w14:paraId="31E4860C" w14:textId="77777777" w:rsidR="005A1F52" w:rsidRPr="005A1F52" w:rsidRDefault="005A1F52" w:rsidP="005A1F52">
      <w:pPr>
        <w:rPr>
          <w:rFonts w:ascii="Calibri"/>
        </w:rPr>
      </w:pPr>
    </w:p>
    <w:p w14:paraId="1A34C09B" w14:textId="26C0A039" w:rsidR="00AE70D1" w:rsidRDefault="00E91451" w:rsidP="005A1F52">
      <w:pPr>
        <w:pStyle w:val="BodyText"/>
        <w:spacing w:line="400" w:lineRule="auto"/>
        <w:ind w:right="942"/>
        <w:rPr>
          <w:rFonts w:ascii="Calibri"/>
        </w:rPr>
      </w:pPr>
      <w:r>
        <w:rPr>
          <w:rFonts w:ascii="Calibri"/>
        </w:rPr>
        <w:t>10</w:t>
      </w:r>
      <w:r w:rsidR="00A463BF">
        <w:rPr>
          <w:rFonts w:ascii="Calibri"/>
        </w:rPr>
        <w:t>.</w:t>
      </w:r>
      <w:r w:rsidR="005A1F52">
        <w:rPr>
          <w:rFonts w:ascii="Calibri"/>
        </w:rPr>
        <w:t xml:space="preserve">  </w:t>
      </w:r>
      <w:r w:rsidR="00A463BF">
        <w:rPr>
          <w:rFonts w:ascii="Calibri"/>
        </w:rPr>
        <w:t>The IC POC creates a punch list with the PO of any remaining items that must be completed. 1</w:t>
      </w:r>
      <w:r>
        <w:rPr>
          <w:rFonts w:ascii="Calibri"/>
        </w:rPr>
        <w:t>1</w:t>
      </w:r>
      <w:r w:rsidR="00A463BF">
        <w:rPr>
          <w:rFonts w:ascii="Calibri"/>
        </w:rPr>
        <w:t>.</w:t>
      </w:r>
      <w:r w:rsidR="00B51FF3">
        <w:rPr>
          <w:rFonts w:ascii="Calibri"/>
        </w:rPr>
        <w:t xml:space="preserve"> </w:t>
      </w:r>
      <w:r w:rsidR="00A463BF">
        <w:rPr>
          <w:rFonts w:ascii="Calibri"/>
        </w:rPr>
        <w:t>The IC POC signs off on the project when the punch list is complete.</w:t>
      </w:r>
    </w:p>
    <w:p w14:paraId="74CDB68C" w14:textId="1F458141" w:rsidR="00AE70D1" w:rsidRDefault="00B51FF3" w:rsidP="00B51FF3">
      <w:pPr>
        <w:pStyle w:val="BodyText"/>
        <w:spacing w:line="259" w:lineRule="auto"/>
        <w:ind w:right="96"/>
        <w:rPr>
          <w:rFonts w:ascii="Calibri"/>
        </w:rPr>
      </w:pPr>
      <w:r>
        <w:rPr>
          <w:rFonts w:ascii="Calibri"/>
        </w:rPr>
        <w:t>1</w:t>
      </w:r>
      <w:r w:rsidR="00E91451">
        <w:rPr>
          <w:rFonts w:ascii="Calibri"/>
        </w:rPr>
        <w:t>2</w:t>
      </w:r>
      <w:r>
        <w:rPr>
          <w:rFonts w:ascii="Calibri"/>
        </w:rPr>
        <w:t xml:space="preserve">. </w:t>
      </w:r>
      <w:r w:rsidR="00A463BF">
        <w:rPr>
          <w:rFonts w:ascii="Calibri"/>
        </w:rPr>
        <w:t>The IC POC/Fiscal Authority coordinates furniture deliveries, moving services, CIT concerns, and other parts of the move</w:t>
      </w:r>
      <w:r>
        <w:rPr>
          <w:rFonts w:ascii="Calibri"/>
        </w:rPr>
        <w:t xml:space="preserve"> -in</w:t>
      </w:r>
      <w:r w:rsidR="00A463BF">
        <w:rPr>
          <w:rFonts w:ascii="Calibri"/>
        </w:rPr>
        <w:t xml:space="preserve"> process.</w:t>
      </w:r>
    </w:p>
    <w:sectPr w:rsidR="00AE70D1">
      <w:pgSz w:w="12240" w:h="15840"/>
      <w:pgMar w:top="1420" w:right="134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133C" w14:textId="77777777" w:rsidR="00974127" w:rsidRDefault="00974127">
      <w:r>
        <w:separator/>
      </w:r>
    </w:p>
  </w:endnote>
  <w:endnote w:type="continuationSeparator" w:id="0">
    <w:p w14:paraId="46A7364A" w14:textId="77777777" w:rsidR="00974127" w:rsidRDefault="009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2977" w14:textId="100CDE31" w:rsidR="002012FE" w:rsidRDefault="00485D77">
    <w:pPr>
      <w:pStyle w:val="Footer"/>
    </w:pPr>
    <w:r>
      <w:t>IC Guide to Design &amp; Construction Workflow, 202</w:t>
    </w:r>
    <w:r w:rsidR="003B740E">
      <w:t>4.04.05</w:t>
    </w:r>
  </w:p>
  <w:p w14:paraId="126E816B" w14:textId="77777777" w:rsidR="00AE70D1" w:rsidRDefault="00AE70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307C" w14:textId="77777777" w:rsidR="00974127" w:rsidRDefault="00974127">
      <w:r>
        <w:separator/>
      </w:r>
    </w:p>
  </w:footnote>
  <w:footnote w:type="continuationSeparator" w:id="0">
    <w:p w14:paraId="5DCDE1A4" w14:textId="77777777" w:rsidR="00974127" w:rsidRDefault="0097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CF30BA7" w14:textId="77777777" w:rsidR="009E4D2E" w:rsidRDefault="009E4D2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12D6BE" w14:textId="77777777" w:rsidR="009E4D2E" w:rsidRDefault="009E4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6D2"/>
    <w:multiLevelType w:val="hybridMultilevel"/>
    <w:tmpl w:val="7C8C7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A838F6"/>
    <w:multiLevelType w:val="hybridMultilevel"/>
    <w:tmpl w:val="CF64AA58"/>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315B2523"/>
    <w:multiLevelType w:val="hybridMultilevel"/>
    <w:tmpl w:val="26CCB4DE"/>
    <w:lvl w:ilvl="0" w:tplc="40BA83A8">
      <w:start w:val="12"/>
      <w:numFmt w:val="bullet"/>
      <w:lvlText w:val=""/>
      <w:lvlJc w:val="left"/>
      <w:pPr>
        <w:ind w:left="2160" w:hanging="60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4AF00EF0"/>
    <w:multiLevelType w:val="hybridMultilevel"/>
    <w:tmpl w:val="7788FD2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6CF079D7"/>
    <w:multiLevelType w:val="hybridMultilevel"/>
    <w:tmpl w:val="E226688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728D4D6B"/>
    <w:multiLevelType w:val="hybridMultilevel"/>
    <w:tmpl w:val="BD6C824C"/>
    <w:lvl w:ilvl="0" w:tplc="02361A62">
      <w:start w:val="1"/>
      <w:numFmt w:val="decimal"/>
      <w:lvlText w:val="%1."/>
      <w:lvlJc w:val="left"/>
      <w:pPr>
        <w:ind w:left="288" w:hanging="168"/>
        <w:jc w:val="left"/>
      </w:pPr>
      <w:rPr>
        <w:rFonts w:ascii="Calibri" w:eastAsia="Calibri" w:hAnsi="Calibri" w:cs="Calibri" w:hint="default"/>
        <w:spacing w:val="-1"/>
        <w:w w:val="99"/>
        <w:sz w:val="22"/>
        <w:szCs w:val="22"/>
        <w:lang w:val="en-US" w:eastAsia="en-US" w:bidi="ar-SA"/>
      </w:rPr>
    </w:lvl>
    <w:lvl w:ilvl="1" w:tplc="E26265E2">
      <w:numFmt w:val="bullet"/>
      <w:lvlText w:val="•"/>
      <w:lvlJc w:val="left"/>
      <w:pPr>
        <w:ind w:left="1560" w:hanging="168"/>
      </w:pPr>
      <w:rPr>
        <w:rFonts w:hint="default"/>
        <w:lang w:val="en-US" w:eastAsia="en-US" w:bidi="ar-SA"/>
      </w:rPr>
    </w:lvl>
    <w:lvl w:ilvl="2" w:tplc="E7B47DC8">
      <w:numFmt w:val="bullet"/>
      <w:lvlText w:val="•"/>
      <w:lvlJc w:val="left"/>
      <w:pPr>
        <w:ind w:left="2451" w:hanging="168"/>
      </w:pPr>
      <w:rPr>
        <w:rFonts w:hint="default"/>
        <w:lang w:val="en-US" w:eastAsia="en-US" w:bidi="ar-SA"/>
      </w:rPr>
    </w:lvl>
    <w:lvl w:ilvl="3" w:tplc="C862119C">
      <w:numFmt w:val="bullet"/>
      <w:lvlText w:val="•"/>
      <w:lvlJc w:val="left"/>
      <w:pPr>
        <w:ind w:left="3342" w:hanging="168"/>
      </w:pPr>
      <w:rPr>
        <w:rFonts w:hint="default"/>
        <w:lang w:val="en-US" w:eastAsia="en-US" w:bidi="ar-SA"/>
      </w:rPr>
    </w:lvl>
    <w:lvl w:ilvl="4" w:tplc="14601430">
      <w:numFmt w:val="bullet"/>
      <w:lvlText w:val="•"/>
      <w:lvlJc w:val="left"/>
      <w:pPr>
        <w:ind w:left="4233" w:hanging="168"/>
      </w:pPr>
      <w:rPr>
        <w:rFonts w:hint="default"/>
        <w:lang w:val="en-US" w:eastAsia="en-US" w:bidi="ar-SA"/>
      </w:rPr>
    </w:lvl>
    <w:lvl w:ilvl="5" w:tplc="FA5419DC">
      <w:numFmt w:val="bullet"/>
      <w:lvlText w:val="•"/>
      <w:lvlJc w:val="left"/>
      <w:pPr>
        <w:ind w:left="5124" w:hanging="168"/>
      </w:pPr>
      <w:rPr>
        <w:rFonts w:hint="default"/>
        <w:lang w:val="en-US" w:eastAsia="en-US" w:bidi="ar-SA"/>
      </w:rPr>
    </w:lvl>
    <w:lvl w:ilvl="6" w:tplc="77020A00">
      <w:numFmt w:val="bullet"/>
      <w:lvlText w:val="•"/>
      <w:lvlJc w:val="left"/>
      <w:pPr>
        <w:ind w:left="6015" w:hanging="168"/>
      </w:pPr>
      <w:rPr>
        <w:rFonts w:hint="default"/>
        <w:lang w:val="en-US" w:eastAsia="en-US" w:bidi="ar-SA"/>
      </w:rPr>
    </w:lvl>
    <w:lvl w:ilvl="7" w:tplc="E1CCFD4A">
      <w:numFmt w:val="bullet"/>
      <w:lvlText w:val="•"/>
      <w:lvlJc w:val="left"/>
      <w:pPr>
        <w:ind w:left="6906" w:hanging="168"/>
      </w:pPr>
      <w:rPr>
        <w:rFonts w:hint="default"/>
        <w:lang w:val="en-US" w:eastAsia="en-US" w:bidi="ar-SA"/>
      </w:rPr>
    </w:lvl>
    <w:lvl w:ilvl="8" w:tplc="B880AFF6">
      <w:numFmt w:val="bullet"/>
      <w:lvlText w:val="•"/>
      <w:lvlJc w:val="left"/>
      <w:pPr>
        <w:ind w:left="7797" w:hanging="168"/>
      </w:pPr>
      <w:rPr>
        <w:rFonts w:hint="default"/>
        <w:lang w:val="en-US" w:eastAsia="en-US" w:bidi="ar-SA"/>
      </w:rPr>
    </w:lvl>
  </w:abstractNum>
  <w:abstractNum w:abstractNumId="6" w15:restartNumberingAfterBreak="0">
    <w:nsid w:val="79C26074"/>
    <w:multiLevelType w:val="hybridMultilevel"/>
    <w:tmpl w:val="FA40F392"/>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7B222654"/>
    <w:multiLevelType w:val="hybridMultilevel"/>
    <w:tmpl w:val="418AAA68"/>
    <w:lvl w:ilvl="0" w:tplc="D8C8316E">
      <w:numFmt w:val="bullet"/>
      <w:lvlText w:val="•"/>
      <w:lvlJc w:val="left"/>
      <w:pPr>
        <w:ind w:left="840" w:hanging="132"/>
      </w:pPr>
      <w:rPr>
        <w:rFonts w:ascii="Times New Roman" w:eastAsia="Times New Roman" w:hAnsi="Times New Roman" w:cs="Times New Roman" w:hint="default"/>
        <w:w w:val="99"/>
        <w:sz w:val="22"/>
        <w:szCs w:val="22"/>
        <w:lang w:val="en-US" w:eastAsia="en-US" w:bidi="ar-SA"/>
      </w:rPr>
    </w:lvl>
    <w:lvl w:ilvl="1" w:tplc="9BEC3CC6">
      <w:numFmt w:val="bullet"/>
      <w:lvlText w:val="o"/>
      <w:lvlJc w:val="left"/>
      <w:pPr>
        <w:ind w:left="1560" w:hanging="264"/>
      </w:pPr>
      <w:rPr>
        <w:rFonts w:ascii="Courier New" w:eastAsia="Courier New" w:hAnsi="Courier New" w:cs="Courier New" w:hint="default"/>
        <w:w w:val="99"/>
        <w:sz w:val="22"/>
        <w:szCs w:val="22"/>
        <w:lang w:val="en-US" w:eastAsia="en-US" w:bidi="ar-SA"/>
      </w:rPr>
    </w:lvl>
    <w:lvl w:ilvl="2" w:tplc="C232AB02">
      <w:numFmt w:val="bullet"/>
      <w:lvlText w:val="•"/>
      <w:lvlJc w:val="left"/>
      <w:pPr>
        <w:ind w:left="1820" w:hanging="264"/>
      </w:pPr>
      <w:rPr>
        <w:rFonts w:hint="default"/>
        <w:lang w:val="en-US" w:eastAsia="en-US" w:bidi="ar-SA"/>
      </w:rPr>
    </w:lvl>
    <w:lvl w:ilvl="3" w:tplc="02B403AE">
      <w:numFmt w:val="bullet"/>
      <w:lvlText w:val="•"/>
      <w:lvlJc w:val="left"/>
      <w:pPr>
        <w:ind w:left="2790" w:hanging="264"/>
      </w:pPr>
      <w:rPr>
        <w:rFonts w:hint="default"/>
        <w:lang w:val="en-US" w:eastAsia="en-US" w:bidi="ar-SA"/>
      </w:rPr>
    </w:lvl>
    <w:lvl w:ilvl="4" w:tplc="949CCFC4">
      <w:numFmt w:val="bullet"/>
      <w:lvlText w:val="•"/>
      <w:lvlJc w:val="left"/>
      <w:pPr>
        <w:ind w:left="3760" w:hanging="264"/>
      </w:pPr>
      <w:rPr>
        <w:rFonts w:hint="default"/>
        <w:lang w:val="en-US" w:eastAsia="en-US" w:bidi="ar-SA"/>
      </w:rPr>
    </w:lvl>
    <w:lvl w:ilvl="5" w:tplc="1234C5EE">
      <w:numFmt w:val="bullet"/>
      <w:lvlText w:val="•"/>
      <w:lvlJc w:val="left"/>
      <w:pPr>
        <w:ind w:left="4730" w:hanging="264"/>
      </w:pPr>
      <w:rPr>
        <w:rFonts w:hint="default"/>
        <w:lang w:val="en-US" w:eastAsia="en-US" w:bidi="ar-SA"/>
      </w:rPr>
    </w:lvl>
    <w:lvl w:ilvl="6" w:tplc="E280FE36">
      <w:numFmt w:val="bullet"/>
      <w:lvlText w:val="•"/>
      <w:lvlJc w:val="left"/>
      <w:pPr>
        <w:ind w:left="5700" w:hanging="264"/>
      </w:pPr>
      <w:rPr>
        <w:rFonts w:hint="default"/>
        <w:lang w:val="en-US" w:eastAsia="en-US" w:bidi="ar-SA"/>
      </w:rPr>
    </w:lvl>
    <w:lvl w:ilvl="7" w:tplc="23DCF55E">
      <w:numFmt w:val="bullet"/>
      <w:lvlText w:val="•"/>
      <w:lvlJc w:val="left"/>
      <w:pPr>
        <w:ind w:left="6670" w:hanging="264"/>
      </w:pPr>
      <w:rPr>
        <w:rFonts w:hint="default"/>
        <w:lang w:val="en-US" w:eastAsia="en-US" w:bidi="ar-SA"/>
      </w:rPr>
    </w:lvl>
    <w:lvl w:ilvl="8" w:tplc="B740CA76">
      <w:numFmt w:val="bullet"/>
      <w:lvlText w:val="•"/>
      <w:lvlJc w:val="left"/>
      <w:pPr>
        <w:ind w:left="7640" w:hanging="264"/>
      </w:pPr>
      <w:rPr>
        <w:rFonts w:hint="default"/>
        <w:lang w:val="en-US" w:eastAsia="en-US" w:bidi="ar-SA"/>
      </w:rPr>
    </w:lvl>
  </w:abstractNum>
  <w:num w:numId="1" w16cid:durableId="1833594465">
    <w:abstractNumId w:val="5"/>
  </w:num>
  <w:num w:numId="2" w16cid:durableId="191186566">
    <w:abstractNumId w:val="7"/>
  </w:num>
  <w:num w:numId="3" w16cid:durableId="709260884">
    <w:abstractNumId w:val="3"/>
  </w:num>
  <w:num w:numId="4" w16cid:durableId="1964069168">
    <w:abstractNumId w:val="4"/>
  </w:num>
  <w:num w:numId="5" w16cid:durableId="522666378">
    <w:abstractNumId w:val="1"/>
  </w:num>
  <w:num w:numId="6" w16cid:durableId="765006541">
    <w:abstractNumId w:val="6"/>
  </w:num>
  <w:num w:numId="7" w16cid:durableId="1103915812">
    <w:abstractNumId w:val="2"/>
  </w:num>
  <w:num w:numId="8" w16cid:durableId="88953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D1"/>
    <w:rsid w:val="00060723"/>
    <w:rsid w:val="000F2CB1"/>
    <w:rsid w:val="00115694"/>
    <w:rsid w:val="001338D7"/>
    <w:rsid w:val="002012FE"/>
    <w:rsid w:val="00217425"/>
    <w:rsid w:val="002266EB"/>
    <w:rsid w:val="00236EE4"/>
    <w:rsid w:val="003171B3"/>
    <w:rsid w:val="00335063"/>
    <w:rsid w:val="00361ABB"/>
    <w:rsid w:val="003B740E"/>
    <w:rsid w:val="00485D77"/>
    <w:rsid w:val="004C57BD"/>
    <w:rsid w:val="004F2755"/>
    <w:rsid w:val="00502029"/>
    <w:rsid w:val="00554F65"/>
    <w:rsid w:val="00563456"/>
    <w:rsid w:val="005A1F52"/>
    <w:rsid w:val="005C5DB6"/>
    <w:rsid w:val="006115CD"/>
    <w:rsid w:val="0061514A"/>
    <w:rsid w:val="006240A1"/>
    <w:rsid w:val="006737F8"/>
    <w:rsid w:val="006B0452"/>
    <w:rsid w:val="00791643"/>
    <w:rsid w:val="007E3237"/>
    <w:rsid w:val="00825065"/>
    <w:rsid w:val="008A46F4"/>
    <w:rsid w:val="008E275D"/>
    <w:rsid w:val="0090442E"/>
    <w:rsid w:val="0091530A"/>
    <w:rsid w:val="00970C95"/>
    <w:rsid w:val="00974127"/>
    <w:rsid w:val="009E4D2E"/>
    <w:rsid w:val="00A2741B"/>
    <w:rsid w:val="00A463BF"/>
    <w:rsid w:val="00A513F8"/>
    <w:rsid w:val="00AE70D1"/>
    <w:rsid w:val="00B51FF3"/>
    <w:rsid w:val="00BB3F04"/>
    <w:rsid w:val="00BC20CB"/>
    <w:rsid w:val="00BD609A"/>
    <w:rsid w:val="00C038C3"/>
    <w:rsid w:val="00C94EA6"/>
    <w:rsid w:val="00CE691A"/>
    <w:rsid w:val="00D961EC"/>
    <w:rsid w:val="00DF044C"/>
    <w:rsid w:val="00DF7EEA"/>
    <w:rsid w:val="00E0403E"/>
    <w:rsid w:val="00E53660"/>
    <w:rsid w:val="00E87FF7"/>
    <w:rsid w:val="00E91451"/>
    <w:rsid w:val="00EB3AE8"/>
    <w:rsid w:val="00EC669C"/>
    <w:rsid w:val="00F4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9911"/>
  <w15:docId w15:val="{8185F332-BC14-4EE1-BA43-7E8395F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20"/>
      <w:ind w:left="1421" w:right="1401"/>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20"/>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1" w:hanging="1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5D77"/>
    <w:pPr>
      <w:tabs>
        <w:tab w:val="center" w:pos="4680"/>
        <w:tab w:val="right" w:pos="9360"/>
      </w:tabs>
    </w:pPr>
  </w:style>
  <w:style w:type="character" w:customStyle="1" w:styleId="HeaderChar">
    <w:name w:val="Header Char"/>
    <w:basedOn w:val="DefaultParagraphFont"/>
    <w:link w:val="Header"/>
    <w:uiPriority w:val="99"/>
    <w:rsid w:val="00485D77"/>
    <w:rPr>
      <w:rFonts w:ascii="Times New Roman" w:eastAsia="Times New Roman" w:hAnsi="Times New Roman" w:cs="Times New Roman"/>
    </w:rPr>
  </w:style>
  <w:style w:type="paragraph" w:styleId="Footer">
    <w:name w:val="footer"/>
    <w:basedOn w:val="Normal"/>
    <w:link w:val="FooterChar"/>
    <w:uiPriority w:val="99"/>
    <w:unhideWhenUsed/>
    <w:rsid w:val="00485D77"/>
    <w:pPr>
      <w:tabs>
        <w:tab w:val="center" w:pos="4680"/>
        <w:tab w:val="right" w:pos="9360"/>
      </w:tabs>
    </w:pPr>
  </w:style>
  <w:style w:type="character" w:customStyle="1" w:styleId="FooterChar">
    <w:name w:val="Footer Char"/>
    <w:basedOn w:val="DefaultParagraphFont"/>
    <w:link w:val="Footer"/>
    <w:uiPriority w:val="99"/>
    <w:rsid w:val="00485D77"/>
    <w:rPr>
      <w:rFonts w:ascii="Times New Roman" w:eastAsia="Times New Roman" w:hAnsi="Times New Roman" w:cs="Times New Roman"/>
    </w:rPr>
  </w:style>
  <w:style w:type="character" w:styleId="Hyperlink">
    <w:name w:val="Hyperlink"/>
    <w:basedOn w:val="DefaultParagraphFont"/>
    <w:uiPriority w:val="99"/>
    <w:unhideWhenUsed/>
    <w:rsid w:val="00EC669C"/>
    <w:rPr>
      <w:color w:val="0000FF" w:themeColor="hyperlink"/>
      <w:u w:val="single"/>
    </w:rPr>
  </w:style>
  <w:style w:type="character" w:styleId="UnresolvedMention">
    <w:name w:val="Unresolved Mention"/>
    <w:basedOn w:val="DefaultParagraphFont"/>
    <w:uiPriority w:val="99"/>
    <w:semiHidden/>
    <w:unhideWhenUsed/>
    <w:rsid w:val="00EC669C"/>
    <w:rPr>
      <w:color w:val="605E5C"/>
      <w:shd w:val="clear" w:color="auto" w:fill="E1DFDD"/>
    </w:rPr>
  </w:style>
  <w:style w:type="character" w:customStyle="1" w:styleId="Heading1Char">
    <w:name w:val="Heading 1 Char"/>
    <w:basedOn w:val="DefaultParagraphFont"/>
    <w:link w:val="Heading1"/>
    <w:uiPriority w:val="9"/>
    <w:rsid w:val="00BD609A"/>
    <w:rPr>
      <w:rFonts w:ascii="Calibri Light" w:eastAsia="Calibri Light" w:hAnsi="Calibri Light" w:cs="Calibri Light"/>
      <w:sz w:val="32"/>
      <w:szCs w:val="32"/>
    </w:rPr>
  </w:style>
  <w:style w:type="character" w:styleId="FollowedHyperlink">
    <w:name w:val="FollowedHyperlink"/>
    <w:basedOn w:val="DefaultParagraphFont"/>
    <w:uiPriority w:val="99"/>
    <w:semiHidden/>
    <w:unhideWhenUsed/>
    <w:rsid w:val="00EB3AE8"/>
    <w:rPr>
      <w:color w:val="800080" w:themeColor="followedHyperlink"/>
      <w:u w:val="single"/>
    </w:rPr>
  </w:style>
  <w:style w:type="character" w:customStyle="1" w:styleId="ui-provider">
    <w:name w:val="ui-provider"/>
    <w:basedOn w:val="DefaultParagraphFont"/>
    <w:rsid w:val="0062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15">
      <w:bodyDiv w:val="1"/>
      <w:marLeft w:val="0"/>
      <w:marRight w:val="0"/>
      <w:marTop w:val="0"/>
      <w:marBottom w:val="0"/>
      <w:divBdr>
        <w:top w:val="none" w:sz="0" w:space="0" w:color="auto"/>
        <w:left w:val="none" w:sz="0" w:space="0" w:color="auto"/>
        <w:bottom w:val="none" w:sz="0" w:space="0" w:color="auto"/>
        <w:right w:val="none" w:sz="0" w:space="0" w:color="auto"/>
      </w:divBdr>
    </w:div>
    <w:div w:id="1812867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mual.canady@nih.gov" TargetMode="External"/><Relationship Id="rId17" Type="http://schemas.openxmlformats.org/officeDocument/2006/relationships/hyperlink" Target="https://www.orf.od.nih.gov/ProjectResources/ProjectTools/Pages/checklistscientist.aspx"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wheeland@nilh.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ick.robey@nih.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6A44BBC6424D8ED11171F151309D" ma:contentTypeVersion="2" ma:contentTypeDescription="Create a new document." ma:contentTypeScope="" ma:versionID="fd9a07104e84877cdd1cddd2b602b787">
  <xsd:schema xmlns:xsd="http://www.w3.org/2001/XMLSchema" xmlns:xs="http://www.w3.org/2001/XMLSchema" xmlns:p="http://schemas.microsoft.com/office/2006/metadata/properties" xmlns:ns1="http://schemas.microsoft.com/sharepoint/v3" targetNamespace="http://schemas.microsoft.com/office/2006/metadata/properties" ma:root="true" ma:fieldsID="5c8ee118062cf5e7452eca769896f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6D8B7E-ACA4-47CE-81AF-CF47511BAC56}"/>
</file>

<file path=customXml/itemProps2.xml><?xml version="1.0" encoding="utf-8"?>
<ds:datastoreItem xmlns:ds="http://schemas.openxmlformats.org/officeDocument/2006/customXml" ds:itemID="{D15CD558-C217-474F-AFC0-0445DE964820}">
  <ds:schemaRefs>
    <ds:schemaRef ds:uri="http://schemas.microsoft.com/sharepoint/v3/contenttype/forms"/>
  </ds:schemaRefs>
</ds:datastoreItem>
</file>

<file path=customXml/itemProps3.xml><?xml version="1.0" encoding="utf-8"?>
<ds:datastoreItem xmlns:ds="http://schemas.openxmlformats.org/officeDocument/2006/customXml" ds:itemID="{AA824E15-366E-41D2-BB6D-84629F25EE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870eb9-73bb-4e2c-8b11-b11c8e4b51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ORS</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Biggins, Tim (NIH/OD/ORF) [C]</dc:creator>
  <cp:lastModifiedBy>Biggins, Tim (NIH/OD/ORF) [C]</cp:lastModifiedBy>
  <cp:revision>3</cp:revision>
  <cp:lastPrinted>2024-04-05T14:25:00Z</cp:lastPrinted>
  <dcterms:created xsi:type="dcterms:W3CDTF">2024-04-10T18:42:00Z</dcterms:created>
  <dcterms:modified xsi:type="dcterms:W3CDTF">2024-04-10T18:53:00Z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20 for Word</vt:lpwstr>
  </property>
  <property fmtid="{D5CDD505-2E9C-101B-9397-08002B2CF9AE}" pid="4" name="LastSaved">
    <vt:filetime>2020-09-25T00:00:00Z</vt:filetime>
  </property>
  <property fmtid="{D5CDD505-2E9C-101B-9397-08002B2CF9AE}" pid="5" name="ContentTypeId">
    <vt:lpwstr>0x010100E1EF6A44BBC6424D8ED11171F151309D</vt:lpwstr>
  </property>
</Properties>
</file>